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956D20" w:rsidRDefault="00E90E31">
      <w:pPr>
        <w:jc w:val="both"/>
        <w:rPr>
          <w:rFonts w:ascii="Georgia" w:eastAsia="Georgia" w:hAnsi="Georgia" w:cs="Georgia"/>
          <w:b/>
          <w:smallCaps/>
          <w:sz w:val="24"/>
          <w:szCs w:val="24"/>
        </w:rPr>
      </w:pPr>
      <w:r>
        <w:rPr>
          <w:rFonts w:ascii="Georgia" w:eastAsia="Georgia" w:hAnsi="Georgia" w:cs="Georgia"/>
          <w:b/>
          <w:smallCaps/>
          <w:sz w:val="24"/>
          <w:szCs w:val="24"/>
        </w:rPr>
        <w:t>OECD Approach on Digital Transformation of Tax Administrations and New Taxpayers’ Rights</w:t>
      </w:r>
    </w:p>
    <w:p w14:paraId="00000002" w14:textId="653DC147" w:rsidR="00956D20" w:rsidRPr="005B78EB" w:rsidRDefault="00E90E31">
      <w:pPr>
        <w:jc w:val="both"/>
        <w:rPr>
          <w:rFonts w:ascii="Georgia" w:eastAsia="Georgia" w:hAnsi="Georgia" w:cs="Georgia"/>
          <w:b/>
          <w:i/>
          <w:sz w:val="24"/>
          <w:szCs w:val="24"/>
          <w:lang w:val="it-IT"/>
        </w:rPr>
      </w:pPr>
      <w:r w:rsidRPr="005B78EB">
        <w:rPr>
          <w:rFonts w:ascii="Georgia" w:eastAsia="Georgia" w:hAnsi="Georgia" w:cs="Georgia"/>
          <w:b/>
          <w:i/>
          <w:sz w:val="24"/>
          <w:szCs w:val="24"/>
          <w:lang w:val="it-IT"/>
        </w:rPr>
        <w:t>L. del Federico – F. Montanari – S. Giorgi</w:t>
      </w:r>
      <w:r w:rsidR="00D11FA8" w:rsidRPr="00FD2883">
        <w:rPr>
          <w:rStyle w:val="Rimandonotaapidipagina"/>
          <w:rFonts w:ascii="Georgia" w:eastAsia="Georgia" w:hAnsi="Georgia" w:cs="Georgia"/>
          <w:b/>
          <w:iCs/>
          <w:sz w:val="24"/>
          <w:szCs w:val="24"/>
          <w:lang w:val="it-IT"/>
        </w:rPr>
        <w:footnoteReference w:id="1"/>
      </w:r>
    </w:p>
    <w:p w14:paraId="00000003" w14:textId="77777777" w:rsidR="00956D20" w:rsidRDefault="00E90E31">
      <w:pPr>
        <w:keepNext/>
        <w:keepLines/>
        <w:pBdr>
          <w:top w:val="nil"/>
          <w:left w:val="nil"/>
          <w:bottom w:val="nil"/>
          <w:right w:val="nil"/>
          <w:between w:val="nil"/>
        </w:pBdr>
        <w:spacing w:before="240" w:after="0"/>
        <w:rPr>
          <w:rFonts w:ascii="Georgia" w:eastAsia="Georgia" w:hAnsi="Georgia" w:cs="Georgia"/>
          <w:b/>
          <w:color w:val="000000"/>
          <w:sz w:val="32"/>
          <w:szCs w:val="32"/>
        </w:rPr>
      </w:pPr>
      <w:r>
        <w:rPr>
          <w:rFonts w:ascii="Georgia" w:eastAsia="Georgia" w:hAnsi="Georgia" w:cs="Georgia"/>
          <w:b/>
          <w:color w:val="000000"/>
          <w:sz w:val="32"/>
          <w:szCs w:val="32"/>
        </w:rPr>
        <w:t>Table of Contents</w:t>
      </w:r>
    </w:p>
    <w:sdt>
      <w:sdtPr>
        <w:id w:val="-78754170"/>
        <w:docPartObj>
          <w:docPartGallery w:val="Table of Contents"/>
          <w:docPartUnique/>
        </w:docPartObj>
      </w:sdtPr>
      <w:sdtEndPr/>
      <w:sdtContent>
        <w:p w14:paraId="301126DE" w14:textId="71B662BA" w:rsidR="00250C6E" w:rsidRDefault="00E90E31">
          <w:pPr>
            <w:pStyle w:val="Sommario1"/>
            <w:tabs>
              <w:tab w:val="right" w:pos="9628"/>
            </w:tabs>
            <w:rPr>
              <w:rFonts w:asciiTheme="minorHAnsi" w:eastAsiaTheme="minorEastAsia" w:hAnsiTheme="minorHAnsi" w:cstheme="minorBidi"/>
              <w:noProof/>
              <w:lang w:val="it-IT"/>
            </w:rPr>
          </w:pPr>
          <w:r>
            <w:fldChar w:fldCharType="begin"/>
          </w:r>
          <w:r>
            <w:instrText xml:space="preserve"> TOC \h \u \z </w:instrText>
          </w:r>
          <w:r>
            <w:fldChar w:fldCharType="separate"/>
          </w:r>
          <w:hyperlink w:anchor="_Toc62814297" w:history="1">
            <w:r w:rsidR="00250C6E" w:rsidRPr="00D4057B">
              <w:rPr>
                <w:rStyle w:val="Collegamentoipertestuale"/>
                <w:rFonts w:ascii="Georgia" w:eastAsia="Georgia" w:hAnsi="Georgia" w:cs="Georgia"/>
                <w:b/>
                <w:bCs/>
                <w:noProof/>
              </w:rPr>
              <w:t>1. Introduction</w:t>
            </w:r>
            <w:r w:rsidR="00250C6E">
              <w:rPr>
                <w:noProof/>
                <w:webHidden/>
              </w:rPr>
              <w:tab/>
            </w:r>
            <w:r w:rsidR="00250C6E">
              <w:rPr>
                <w:noProof/>
                <w:webHidden/>
              </w:rPr>
              <w:fldChar w:fldCharType="begin"/>
            </w:r>
            <w:r w:rsidR="00250C6E">
              <w:rPr>
                <w:noProof/>
                <w:webHidden/>
              </w:rPr>
              <w:instrText xml:space="preserve"> PAGEREF _Toc62814297 \h </w:instrText>
            </w:r>
            <w:r w:rsidR="00250C6E">
              <w:rPr>
                <w:noProof/>
                <w:webHidden/>
              </w:rPr>
            </w:r>
            <w:r w:rsidR="00250C6E">
              <w:rPr>
                <w:noProof/>
                <w:webHidden/>
              </w:rPr>
              <w:fldChar w:fldCharType="separate"/>
            </w:r>
            <w:r w:rsidR="00250C6E">
              <w:rPr>
                <w:noProof/>
                <w:webHidden/>
              </w:rPr>
              <w:t>1</w:t>
            </w:r>
            <w:r w:rsidR="00250C6E">
              <w:rPr>
                <w:noProof/>
                <w:webHidden/>
              </w:rPr>
              <w:fldChar w:fldCharType="end"/>
            </w:r>
          </w:hyperlink>
        </w:p>
        <w:p w14:paraId="1D0CEC7D" w14:textId="73AC3D2E" w:rsidR="00250C6E" w:rsidRDefault="0030714E">
          <w:pPr>
            <w:pStyle w:val="Sommario1"/>
            <w:tabs>
              <w:tab w:val="right" w:pos="9628"/>
            </w:tabs>
            <w:rPr>
              <w:rFonts w:asciiTheme="minorHAnsi" w:eastAsiaTheme="minorEastAsia" w:hAnsiTheme="minorHAnsi" w:cstheme="minorBidi"/>
              <w:noProof/>
              <w:lang w:val="it-IT"/>
            </w:rPr>
          </w:pPr>
          <w:hyperlink w:anchor="_Toc62814298" w:history="1">
            <w:r w:rsidR="00250C6E" w:rsidRPr="00D4057B">
              <w:rPr>
                <w:rStyle w:val="Collegamentoipertestuale"/>
                <w:rFonts w:ascii="Georgia" w:hAnsi="Georgia"/>
                <w:b/>
                <w:bCs/>
                <w:noProof/>
              </w:rPr>
              <w:t>2. OECD’s Concern on Taxpayers’ Trust</w:t>
            </w:r>
            <w:r w:rsidR="00250C6E">
              <w:rPr>
                <w:noProof/>
                <w:webHidden/>
              </w:rPr>
              <w:tab/>
            </w:r>
            <w:r w:rsidR="00250C6E">
              <w:rPr>
                <w:noProof/>
                <w:webHidden/>
              </w:rPr>
              <w:fldChar w:fldCharType="begin"/>
            </w:r>
            <w:r w:rsidR="00250C6E">
              <w:rPr>
                <w:noProof/>
                <w:webHidden/>
              </w:rPr>
              <w:instrText xml:space="preserve"> PAGEREF _Toc62814298 \h </w:instrText>
            </w:r>
            <w:r w:rsidR="00250C6E">
              <w:rPr>
                <w:noProof/>
                <w:webHidden/>
              </w:rPr>
            </w:r>
            <w:r w:rsidR="00250C6E">
              <w:rPr>
                <w:noProof/>
                <w:webHidden/>
              </w:rPr>
              <w:fldChar w:fldCharType="separate"/>
            </w:r>
            <w:r w:rsidR="00250C6E">
              <w:rPr>
                <w:noProof/>
                <w:webHidden/>
              </w:rPr>
              <w:t>2</w:t>
            </w:r>
            <w:r w:rsidR="00250C6E">
              <w:rPr>
                <w:noProof/>
                <w:webHidden/>
              </w:rPr>
              <w:fldChar w:fldCharType="end"/>
            </w:r>
          </w:hyperlink>
        </w:p>
        <w:p w14:paraId="13D94916" w14:textId="3A721FB6" w:rsidR="00250C6E" w:rsidRDefault="0030714E">
          <w:pPr>
            <w:pStyle w:val="Sommario1"/>
            <w:tabs>
              <w:tab w:val="right" w:pos="9628"/>
            </w:tabs>
            <w:rPr>
              <w:rFonts w:asciiTheme="minorHAnsi" w:eastAsiaTheme="minorEastAsia" w:hAnsiTheme="minorHAnsi" w:cstheme="minorBidi"/>
              <w:noProof/>
              <w:lang w:val="it-IT"/>
            </w:rPr>
          </w:pPr>
          <w:hyperlink w:anchor="_Toc62814299" w:history="1">
            <w:r w:rsidR="00250C6E" w:rsidRPr="00D4057B">
              <w:rPr>
                <w:rStyle w:val="Collegamentoipertestuale"/>
                <w:rFonts w:ascii="Georgia" w:hAnsi="Georgia"/>
                <w:b/>
                <w:bCs/>
                <w:noProof/>
              </w:rPr>
              <w:t>3. OECD and Taxpayers’ Rights</w:t>
            </w:r>
            <w:r w:rsidR="00250C6E">
              <w:rPr>
                <w:noProof/>
                <w:webHidden/>
              </w:rPr>
              <w:tab/>
            </w:r>
            <w:r w:rsidR="00250C6E">
              <w:rPr>
                <w:noProof/>
                <w:webHidden/>
              </w:rPr>
              <w:fldChar w:fldCharType="begin"/>
            </w:r>
            <w:r w:rsidR="00250C6E">
              <w:rPr>
                <w:noProof/>
                <w:webHidden/>
              </w:rPr>
              <w:instrText xml:space="preserve"> PAGEREF _Toc62814299 \h </w:instrText>
            </w:r>
            <w:r w:rsidR="00250C6E">
              <w:rPr>
                <w:noProof/>
                <w:webHidden/>
              </w:rPr>
            </w:r>
            <w:r w:rsidR="00250C6E">
              <w:rPr>
                <w:noProof/>
                <w:webHidden/>
              </w:rPr>
              <w:fldChar w:fldCharType="separate"/>
            </w:r>
            <w:r w:rsidR="00250C6E">
              <w:rPr>
                <w:noProof/>
                <w:webHidden/>
              </w:rPr>
              <w:t>4</w:t>
            </w:r>
            <w:r w:rsidR="00250C6E">
              <w:rPr>
                <w:noProof/>
                <w:webHidden/>
              </w:rPr>
              <w:fldChar w:fldCharType="end"/>
            </w:r>
          </w:hyperlink>
        </w:p>
        <w:p w14:paraId="11D58406" w14:textId="723B3CF4" w:rsidR="00250C6E" w:rsidRDefault="0030714E">
          <w:pPr>
            <w:pStyle w:val="Sommario1"/>
            <w:tabs>
              <w:tab w:val="right" w:pos="9628"/>
            </w:tabs>
            <w:rPr>
              <w:rFonts w:asciiTheme="minorHAnsi" w:eastAsiaTheme="minorEastAsia" w:hAnsiTheme="minorHAnsi" w:cstheme="minorBidi"/>
              <w:noProof/>
              <w:lang w:val="it-IT"/>
            </w:rPr>
          </w:pPr>
          <w:hyperlink w:anchor="_Toc62814300" w:history="1">
            <w:r w:rsidR="00250C6E" w:rsidRPr="00D4057B">
              <w:rPr>
                <w:rStyle w:val="Collegamentoipertestuale"/>
                <w:rFonts w:ascii="Georgia" w:hAnsi="Georgia"/>
                <w:b/>
                <w:bCs/>
                <w:noProof/>
              </w:rPr>
              <w:t>4. Putting theory into practice</w:t>
            </w:r>
            <w:r w:rsidR="00250C6E">
              <w:rPr>
                <w:noProof/>
                <w:webHidden/>
              </w:rPr>
              <w:tab/>
            </w:r>
            <w:r w:rsidR="00250C6E">
              <w:rPr>
                <w:noProof/>
                <w:webHidden/>
              </w:rPr>
              <w:fldChar w:fldCharType="begin"/>
            </w:r>
            <w:r w:rsidR="00250C6E">
              <w:rPr>
                <w:noProof/>
                <w:webHidden/>
              </w:rPr>
              <w:instrText xml:space="preserve"> PAGEREF _Toc62814300 \h </w:instrText>
            </w:r>
            <w:r w:rsidR="00250C6E">
              <w:rPr>
                <w:noProof/>
                <w:webHidden/>
              </w:rPr>
            </w:r>
            <w:r w:rsidR="00250C6E">
              <w:rPr>
                <w:noProof/>
                <w:webHidden/>
              </w:rPr>
              <w:fldChar w:fldCharType="separate"/>
            </w:r>
            <w:r w:rsidR="00250C6E">
              <w:rPr>
                <w:noProof/>
                <w:webHidden/>
              </w:rPr>
              <w:t>6</w:t>
            </w:r>
            <w:r w:rsidR="00250C6E">
              <w:rPr>
                <w:noProof/>
                <w:webHidden/>
              </w:rPr>
              <w:fldChar w:fldCharType="end"/>
            </w:r>
          </w:hyperlink>
        </w:p>
        <w:p w14:paraId="4736820B" w14:textId="16DCDB0D" w:rsidR="00250C6E" w:rsidRDefault="0030714E">
          <w:pPr>
            <w:pStyle w:val="Sommario1"/>
            <w:tabs>
              <w:tab w:val="right" w:pos="9628"/>
            </w:tabs>
            <w:rPr>
              <w:rFonts w:asciiTheme="minorHAnsi" w:eastAsiaTheme="minorEastAsia" w:hAnsiTheme="minorHAnsi" w:cstheme="minorBidi"/>
              <w:noProof/>
              <w:lang w:val="it-IT"/>
            </w:rPr>
          </w:pPr>
          <w:hyperlink w:anchor="_Toc62814301" w:history="1">
            <w:r w:rsidR="00250C6E" w:rsidRPr="00D4057B">
              <w:rPr>
                <w:rStyle w:val="Collegamentoipertestuale"/>
                <w:rFonts w:ascii="Georgia" w:hAnsi="Georgia"/>
                <w:b/>
                <w:bCs/>
                <w:noProof/>
              </w:rPr>
              <w:t>4.1 OECD and Taxpayers’ Rights in Transfer Pricing Digitalization</w:t>
            </w:r>
            <w:r w:rsidR="00250C6E">
              <w:rPr>
                <w:noProof/>
                <w:webHidden/>
              </w:rPr>
              <w:tab/>
            </w:r>
            <w:r w:rsidR="00250C6E">
              <w:rPr>
                <w:noProof/>
                <w:webHidden/>
              </w:rPr>
              <w:fldChar w:fldCharType="begin"/>
            </w:r>
            <w:r w:rsidR="00250C6E">
              <w:rPr>
                <w:noProof/>
                <w:webHidden/>
              </w:rPr>
              <w:instrText xml:space="preserve"> PAGEREF _Toc62814301 \h </w:instrText>
            </w:r>
            <w:r w:rsidR="00250C6E">
              <w:rPr>
                <w:noProof/>
                <w:webHidden/>
              </w:rPr>
            </w:r>
            <w:r w:rsidR="00250C6E">
              <w:rPr>
                <w:noProof/>
                <w:webHidden/>
              </w:rPr>
              <w:fldChar w:fldCharType="separate"/>
            </w:r>
            <w:r w:rsidR="00250C6E">
              <w:rPr>
                <w:noProof/>
                <w:webHidden/>
              </w:rPr>
              <w:t>6</w:t>
            </w:r>
            <w:r w:rsidR="00250C6E">
              <w:rPr>
                <w:noProof/>
                <w:webHidden/>
              </w:rPr>
              <w:fldChar w:fldCharType="end"/>
            </w:r>
          </w:hyperlink>
        </w:p>
        <w:p w14:paraId="1127ABC0" w14:textId="261A0456" w:rsidR="00250C6E" w:rsidRDefault="0030714E">
          <w:pPr>
            <w:pStyle w:val="Sommario1"/>
            <w:tabs>
              <w:tab w:val="right" w:pos="9628"/>
            </w:tabs>
            <w:rPr>
              <w:rFonts w:asciiTheme="minorHAnsi" w:eastAsiaTheme="minorEastAsia" w:hAnsiTheme="minorHAnsi" w:cstheme="minorBidi"/>
              <w:noProof/>
              <w:lang w:val="it-IT"/>
            </w:rPr>
          </w:pPr>
          <w:hyperlink w:anchor="_Toc62814302" w:history="1">
            <w:r w:rsidR="00250C6E" w:rsidRPr="00D4057B">
              <w:rPr>
                <w:rStyle w:val="Collegamentoipertestuale"/>
                <w:rFonts w:ascii="Georgia" w:hAnsi="Georgia"/>
                <w:b/>
                <w:bCs/>
                <w:noProof/>
              </w:rPr>
              <w:t>4.2 OECD and Taxpayers’ Rights in Exchange of Rulings (BEPS Action 5)</w:t>
            </w:r>
            <w:r w:rsidR="00250C6E">
              <w:rPr>
                <w:noProof/>
                <w:webHidden/>
              </w:rPr>
              <w:tab/>
            </w:r>
            <w:r w:rsidR="00250C6E">
              <w:rPr>
                <w:noProof/>
                <w:webHidden/>
              </w:rPr>
              <w:fldChar w:fldCharType="begin"/>
            </w:r>
            <w:r w:rsidR="00250C6E">
              <w:rPr>
                <w:noProof/>
                <w:webHidden/>
              </w:rPr>
              <w:instrText xml:space="preserve"> PAGEREF _Toc62814302 \h </w:instrText>
            </w:r>
            <w:r w:rsidR="00250C6E">
              <w:rPr>
                <w:noProof/>
                <w:webHidden/>
              </w:rPr>
            </w:r>
            <w:r w:rsidR="00250C6E">
              <w:rPr>
                <w:noProof/>
                <w:webHidden/>
              </w:rPr>
              <w:fldChar w:fldCharType="separate"/>
            </w:r>
            <w:r w:rsidR="00250C6E">
              <w:rPr>
                <w:noProof/>
                <w:webHidden/>
              </w:rPr>
              <w:t>7</w:t>
            </w:r>
            <w:r w:rsidR="00250C6E">
              <w:rPr>
                <w:noProof/>
                <w:webHidden/>
              </w:rPr>
              <w:fldChar w:fldCharType="end"/>
            </w:r>
          </w:hyperlink>
        </w:p>
        <w:p w14:paraId="39F4B0BA" w14:textId="5F9CEACA" w:rsidR="00250C6E" w:rsidRDefault="0030714E">
          <w:pPr>
            <w:pStyle w:val="Sommario1"/>
            <w:tabs>
              <w:tab w:val="right" w:pos="9628"/>
            </w:tabs>
            <w:rPr>
              <w:rFonts w:asciiTheme="minorHAnsi" w:eastAsiaTheme="minorEastAsia" w:hAnsiTheme="minorHAnsi" w:cstheme="minorBidi"/>
              <w:noProof/>
              <w:lang w:val="it-IT"/>
            </w:rPr>
          </w:pPr>
          <w:hyperlink w:anchor="_Toc62814303" w:history="1">
            <w:r w:rsidR="00250C6E" w:rsidRPr="00D4057B">
              <w:rPr>
                <w:rStyle w:val="Collegamentoipertestuale"/>
                <w:rFonts w:ascii="Georgia" w:eastAsia="Georgia" w:hAnsi="Georgia" w:cs="Georgia"/>
                <w:b/>
                <w:noProof/>
              </w:rPr>
              <w:t>5. More in Detail: Technology, Data Collection and Exchange of Information</w:t>
            </w:r>
            <w:r w:rsidR="00250C6E">
              <w:rPr>
                <w:noProof/>
                <w:webHidden/>
              </w:rPr>
              <w:tab/>
            </w:r>
            <w:r w:rsidR="00250C6E">
              <w:rPr>
                <w:noProof/>
                <w:webHidden/>
              </w:rPr>
              <w:fldChar w:fldCharType="begin"/>
            </w:r>
            <w:r w:rsidR="00250C6E">
              <w:rPr>
                <w:noProof/>
                <w:webHidden/>
              </w:rPr>
              <w:instrText xml:space="preserve"> PAGEREF _Toc62814303 \h </w:instrText>
            </w:r>
            <w:r w:rsidR="00250C6E">
              <w:rPr>
                <w:noProof/>
                <w:webHidden/>
              </w:rPr>
            </w:r>
            <w:r w:rsidR="00250C6E">
              <w:rPr>
                <w:noProof/>
                <w:webHidden/>
              </w:rPr>
              <w:fldChar w:fldCharType="separate"/>
            </w:r>
            <w:r w:rsidR="00250C6E">
              <w:rPr>
                <w:noProof/>
                <w:webHidden/>
              </w:rPr>
              <w:t>8</w:t>
            </w:r>
            <w:r w:rsidR="00250C6E">
              <w:rPr>
                <w:noProof/>
                <w:webHidden/>
              </w:rPr>
              <w:fldChar w:fldCharType="end"/>
            </w:r>
          </w:hyperlink>
        </w:p>
        <w:p w14:paraId="7B2CB073" w14:textId="3CD46DEE" w:rsidR="00250C6E" w:rsidRDefault="0030714E">
          <w:pPr>
            <w:pStyle w:val="Sommario1"/>
            <w:tabs>
              <w:tab w:val="right" w:pos="9628"/>
            </w:tabs>
            <w:rPr>
              <w:rFonts w:asciiTheme="minorHAnsi" w:eastAsiaTheme="minorEastAsia" w:hAnsiTheme="minorHAnsi" w:cstheme="minorBidi"/>
              <w:noProof/>
              <w:lang w:val="it-IT"/>
            </w:rPr>
          </w:pPr>
          <w:hyperlink w:anchor="_Toc62814304" w:history="1">
            <w:r w:rsidR="00250C6E" w:rsidRPr="00D4057B">
              <w:rPr>
                <w:rStyle w:val="Collegamentoipertestuale"/>
                <w:rFonts w:ascii="Georgia" w:eastAsia="Georgia" w:hAnsi="Georgia" w:cs="Georgia"/>
                <w:b/>
                <w:noProof/>
              </w:rPr>
              <w:t xml:space="preserve">5.1. A Brief “Historical </w:t>
            </w:r>
            <w:r w:rsidR="00250C6E" w:rsidRPr="00D4057B">
              <w:rPr>
                <w:rStyle w:val="Collegamentoipertestuale"/>
                <w:rFonts w:ascii="Georgia" w:eastAsia="Georgia" w:hAnsi="Georgia" w:cs="Georgia"/>
                <w:b/>
                <w:i/>
                <w:noProof/>
              </w:rPr>
              <w:t>Excursus”</w:t>
            </w:r>
            <w:r w:rsidR="00250C6E" w:rsidRPr="00D4057B">
              <w:rPr>
                <w:rStyle w:val="Collegamentoipertestuale"/>
                <w:rFonts w:ascii="Georgia" w:eastAsia="Georgia" w:hAnsi="Georgia" w:cs="Georgia"/>
                <w:b/>
                <w:noProof/>
              </w:rPr>
              <w:t xml:space="preserve"> of OECD Reports and Documents</w:t>
            </w:r>
            <w:r w:rsidR="00250C6E">
              <w:rPr>
                <w:noProof/>
                <w:webHidden/>
              </w:rPr>
              <w:tab/>
            </w:r>
            <w:r w:rsidR="00250C6E">
              <w:rPr>
                <w:noProof/>
                <w:webHidden/>
              </w:rPr>
              <w:fldChar w:fldCharType="begin"/>
            </w:r>
            <w:r w:rsidR="00250C6E">
              <w:rPr>
                <w:noProof/>
                <w:webHidden/>
              </w:rPr>
              <w:instrText xml:space="preserve"> PAGEREF _Toc62814304 \h </w:instrText>
            </w:r>
            <w:r w:rsidR="00250C6E">
              <w:rPr>
                <w:noProof/>
                <w:webHidden/>
              </w:rPr>
            </w:r>
            <w:r w:rsidR="00250C6E">
              <w:rPr>
                <w:noProof/>
                <w:webHidden/>
              </w:rPr>
              <w:fldChar w:fldCharType="separate"/>
            </w:r>
            <w:r w:rsidR="00250C6E">
              <w:rPr>
                <w:noProof/>
                <w:webHidden/>
              </w:rPr>
              <w:t>10</w:t>
            </w:r>
            <w:r w:rsidR="00250C6E">
              <w:rPr>
                <w:noProof/>
                <w:webHidden/>
              </w:rPr>
              <w:fldChar w:fldCharType="end"/>
            </w:r>
          </w:hyperlink>
        </w:p>
        <w:p w14:paraId="7C7A26A8" w14:textId="6D68A73A" w:rsidR="00250C6E" w:rsidRDefault="0030714E">
          <w:pPr>
            <w:pStyle w:val="Sommario1"/>
            <w:tabs>
              <w:tab w:val="right" w:pos="9628"/>
            </w:tabs>
            <w:rPr>
              <w:rFonts w:asciiTheme="minorHAnsi" w:eastAsiaTheme="minorEastAsia" w:hAnsiTheme="minorHAnsi" w:cstheme="minorBidi"/>
              <w:noProof/>
              <w:lang w:val="it-IT"/>
            </w:rPr>
          </w:pPr>
          <w:hyperlink w:anchor="_Toc62814305" w:history="1">
            <w:r w:rsidR="00250C6E" w:rsidRPr="00D4057B">
              <w:rPr>
                <w:rStyle w:val="Collegamentoipertestuale"/>
                <w:rFonts w:ascii="Georgia" w:eastAsia="Georgia" w:hAnsi="Georgia" w:cs="Georgia"/>
                <w:b/>
                <w:noProof/>
              </w:rPr>
              <w:t>6. Updates by the Global Forum on Transparency and Exchange of Information for Tax Purposes</w:t>
            </w:r>
            <w:r w:rsidR="00250C6E">
              <w:rPr>
                <w:noProof/>
                <w:webHidden/>
              </w:rPr>
              <w:tab/>
            </w:r>
            <w:r w:rsidR="00250C6E">
              <w:rPr>
                <w:noProof/>
                <w:webHidden/>
              </w:rPr>
              <w:fldChar w:fldCharType="begin"/>
            </w:r>
            <w:r w:rsidR="00250C6E">
              <w:rPr>
                <w:noProof/>
                <w:webHidden/>
              </w:rPr>
              <w:instrText xml:space="preserve"> PAGEREF _Toc62814305 \h </w:instrText>
            </w:r>
            <w:r w:rsidR="00250C6E">
              <w:rPr>
                <w:noProof/>
                <w:webHidden/>
              </w:rPr>
            </w:r>
            <w:r w:rsidR="00250C6E">
              <w:rPr>
                <w:noProof/>
                <w:webHidden/>
              </w:rPr>
              <w:fldChar w:fldCharType="separate"/>
            </w:r>
            <w:r w:rsidR="00250C6E">
              <w:rPr>
                <w:noProof/>
                <w:webHidden/>
              </w:rPr>
              <w:t>12</w:t>
            </w:r>
            <w:r w:rsidR="00250C6E">
              <w:rPr>
                <w:noProof/>
                <w:webHidden/>
              </w:rPr>
              <w:fldChar w:fldCharType="end"/>
            </w:r>
          </w:hyperlink>
        </w:p>
        <w:p w14:paraId="7529F709" w14:textId="3A975E1C" w:rsidR="00250C6E" w:rsidRDefault="0030714E">
          <w:pPr>
            <w:pStyle w:val="Sommario1"/>
            <w:tabs>
              <w:tab w:val="right" w:pos="9628"/>
            </w:tabs>
            <w:rPr>
              <w:rFonts w:asciiTheme="minorHAnsi" w:eastAsiaTheme="minorEastAsia" w:hAnsiTheme="minorHAnsi" w:cstheme="minorBidi"/>
              <w:noProof/>
              <w:lang w:val="it-IT"/>
            </w:rPr>
          </w:pPr>
          <w:hyperlink w:anchor="_Toc62814306" w:history="1">
            <w:r w:rsidR="00250C6E" w:rsidRPr="00D4057B">
              <w:rPr>
                <w:rStyle w:val="Collegamentoipertestuale"/>
                <w:rFonts w:ascii="Georgia" w:hAnsi="Georgia"/>
                <w:b/>
                <w:bCs/>
                <w:noProof/>
              </w:rPr>
              <w:t>7. Final Remarks</w:t>
            </w:r>
            <w:r w:rsidR="00250C6E">
              <w:rPr>
                <w:noProof/>
                <w:webHidden/>
              </w:rPr>
              <w:tab/>
            </w:r>
            <w:r w:rsidR="00250C6E">
              <w:rPr>
                <w:noProof/>
                <w:webHidden/>
              </w:rPr>
              <w:fldChar w:fldCharType="begin"/>
            </w:r>
            <w:r w:rsidR="00250C6E">
              <w:rPr>
                <w:noProof/>
                <w:webHidden/>
              </w:rPr>
              <w:instrText xml:space="preserve"> PAGEREF _Toc62814306 \h </w:instrText>
            </w:r>
            <w:r w:rsidR="00250C6E">
              <w:rPr>
                <w:noProof/>
                <w:webHidden/>
              </w:rPr>
            </w:r>
            <w:r w:rsidR="00250C6E">
              <w:rPr>
                <w:noProof/>
                <w:webHidden/>
              </w:rPr>
              <w:fldChar w:fldCharType="separate"/>
            </w:r>
            <w:r w:rsidR="00250C6E">
              <w:rPr>
                <w:noProof/>
                <w:webHidden/>
              </w:rPr>
              <w:t>14</w:t>
            </w:r>
            <w:r w:rsidR="00250C6E">
              <w:rPr>
                <w:noProof/>
                <w:webHidden/>
              </w:rPr>
              <w:fldChar w:fldCharType="end"/>
            </w:r>
          </w:hyperlink>
        </w:p>
        <w:p w14:paraId="0000000D" w14:textId="65F705C9" w:rsidR="00956D20" w:rsidRDefault="00E90E31">
          <w:r>
            <w:fldChar w:fldCharType="end"/>
          </w:r>
        </w:p>
      </w:sdtContent>
    </w:sdt>
    <w:p w14:paraId="0000000E" w14:textId="77777777" w:rsidR="00956D20" w:rsidRDefault="00956D20">
      <w:pPr>
        <w:rPr>
          <w:rFonts w:ascii="Georgia" w:eastAsia="Georgia" w:hAnsi="Georgia" w:cs="Georgia"/>
        </w:rPr>
      </w:pPr>
    </w:p>
    <w:p w14:paraId="0FE1E0C1" w14:textId="28992CFF" w:rsidR="00E57D41" w:rsidRPr="00E57D41" w:rsidRDefault="00E57D41" w:rsidP="00E57D41">
      <w:pPr>
        <w:outlineLvl w:val="0"/>
        <w:rPr>
          <w:rFonts w:ascii="Georgia" w:eastAsia="Georgia" w:hAnsi="Georgia" w:cs="Georgia"/>
          <w:b/>
          <w:bCs/>
          <w:sz w:val="24"/>
          <w:szCs w:val="24"/>
        </w:rPr>
      </w:pPr>
      <w:bookmarkStart w:id="0" w:name="_Toc62814297"/>
      <w:r>
        <w:rPr>
          <w:rFonts w:ascii="Georgia" w:eastAsia="Georgia" w:hAnsi="Georgia" w:cs="Georgia"/>
          <w:b/>
          <w:bCs/>
          <w:sz w:val="24"/>
          <w:szCs w:val="24"/>
        </w:rPr>
        <w:t xml:space="preserve">1. </w:t>
      </w:r>
      <w:r w:rsidRPr="00E57D41">
        <w:rPr>
          <w:rFonts w:ascii="Georgia" w:eastAsia="Georgia" w:hAnsi="Georgia" w:cs="Georgia"/>
          <w:b/>
          <w:bCs/>
          <w:sz w:val="24"/>
          <w:szCs w:val="24"/>
        </w:rPr>
        <w:t>Introduction</w:t>
      </w:r>
      <w:bookmarkEnd w:id="0"/>
    </w:p>
    <w:p w14:paraId="67780F66" w14:textId="77777777" w:rsidR="00E57D41" w:rsidRPr="00E57D41" w:rsidRDefault="00E57D41" w:rsidP="00E57D41">
      <w:pPr>
        <w:spacing w:after="0" w:line="360" w:lineRule="auto"/>
        <w:jc w:val="both"/>
        <w:rPr>
          <w:rFonts w:ascii="Georgia" w:eastAsia="Georgia" w:hAnsi="Georgia" w:cs="Georgia"/>
          <w:bCs/>
          <w:sz w:val="24"/>
          <w:szCs w:val="24"/>
        </w:rPr>
      </w:pPr>
      <w:r w:rsidRPr="00E57D41">
        <w:rPr>
          <w:rFonts w:ascii="Georgia" w:eastAsia="Georgia" w:hAnsi="Georgia" w:cs="Georgia"/>
          <w:bCs/>
          <w:sz w:val="24"/>
          <w:szCs w:val="24"/>
        </w:rPr>
        <w:t xml:space="preserve">The digital transformation of the relationship between tax authorities and taxpayers is giving rise to technocratic impulses that challenge the structure of the rule of law.  The digital transformation is often conceived as an </w:t>
      </w:r>
      <w:r w:rsidRPr="00E57D41">
        <w:rPr>
          <w:rFonts w:ascii="Georgia" w:eastAsia="Georgia" w:hAnsi="Georgia" w:cs="Georgia"/>
          <w:bCs/>
          <w:i/>
          <w:sz w:val="24"/>
          <w:szCs w:val="24"/>
        </w:rPr>
        <w:t>alibi</w:t>
      </w:r>
      <w:r w:rsidRPr="00E57D41">
        <w:rPr>
          <w:rFonts w:ascii="Georgia" w:eastAsia="Georgia" w:hAnsi="Georgia" w:cs="Georgia"/>
          <w:bCs/>
          <w:sz w:val="24"/>
          <w:szCs w:val="24"/>
        </w:rPr>
        <w:t xml:space="preserve"> to circumvent the limits set by the law to the exercise of the powers of tax authorities.</w:t>
      </w:r>
    </w:p>
    <w:p w14:paraId="03F39A3E" w14:textId="77777777" w:rsidR="00E57D41" w:rsidRPr="00E57D41" w:rsidRDefault="00E57D41" w:rsidP="00E57D41">
      <w:pPr>
        <w:spacing w:after="0" w:line="360" w:lineRule="auto"/>
        <w:jc w:val="both"/>
        <w:rPr>
          <w:rFonts w:ascii="Georgia" w:eastAsia="Georgia" w:hAnsi="Georgia" w:cs="Georgia"/>
          <w:bCs/>
          <w:sz w:val="24"/>
          <w:szCs w:val="24"/>
        </w:rPr>
      </w:pPr>
      <w:r w:rsidRPr="00E57D41">
        <w:rPr>
          <w:rFonts w:ascii="Georgia" w:eastAsia="Georgia" w:hAnsi="Georgia" w:cs="Georgia"/>
          <w:bCs/>
          <w:sz w:val="24"/>
          <w:szCs w:val="24"/>
        </w:rPr>
        <w:t xml:space="preserve">In all States, one perceives an attempt by the Executive Power to exploit the current season of digital transformation (underway not only in the tax sector) as an opportunity to </w:t>
      </w:r>
      <w:r w:rsidRPr="00E57D41">
        <w:rPr>
          <w:rFonts w:ascii="Georgia" w:eastAsia="Georgia" w:hAnsi="Georgia" w:cs="Georgia"/>
          <w:bCs/>
          <w:i/>
          <w:sz w:val="24"/>
          <w:szCs w:val="24"/>
        </w:rPr>
        <w:t>de facto</w:t>
      </w:r>
      <w:r w:rsidRPr="00E57D41">
        <w:rPr>
          <w:rFonts w:ascii="Georgia" w:eastAsia="Georgia" w:hAnsi="Georgia" w:cs="Georgia"/>
          <w:bCs/>
          <w:sz w:val="24"/>
          <w:szCs w:val="24"/>
        </w:rPr>
        <w:t xml:space="preserve"> reduce the area of freedom, marginalizing the role of the Legislative Power.</w:t>
      </w:r>
    </w:p>
    <w:p w14:paraId="3370FC5D" w14:textId="77777777" w:rsidR="00E57D41" w:rsidRPr="00E57D41" w:rsidRDefault="00E57D41" w:rsidP="00E57D41">
      <w:pPr>
        <w:spacing w:after="0" w:line="360" w:lineRule="auto"/>
        <w:jc w:val="both"/>
        <w:rPr>
          <w:rFonts w:ascii="Georgia" w:eastAsia="Georgia" w:hAnsi="Georgia" w:cs="Georgia"/>
          <w:bCs/>
          <w:sz w:val="24"/>
          <w:szCs w:val="24"/>
        </w:rPr>
      </w:pPr>
      <w:r w:rsidRPr="00E57D41">
        <w:rPr>
          <w:rFonts w:ascii="Georgia" w:eastAsia="Georgia" w:hAnsi="Georgia" w:cs="Georgia"/>
          <w:bCs/>
          <w:sz w:val="24"/>
          <w:szCs w:val="24"/>
        </w:rPr>
        <w:t>In tax matters, Governments, by exaggerating the fight against tax evasion, go so far as to justify serious mortifications of the rule of law and taxpayers' freedoms.</w:t>
      </w:r>
    </w:p>
    <w:p w14:paraId="108E4C56" w14:textId="77777777" w:rsidR="00E57D41" w:rsidRPr="00E57D41" w:rsidRDefault="00E57D41" w:rsidP="00E57D41">
      <w:pPr>
        <w:spacing w:after="0" w:line="360" w:lineRule="auto"/>
        <w:jc w:val="both"/>
        <w:rPr>
          <w:rFonts w:ascii="Georgia" w:eastAsia="Georgia" w:hAnsi="Georgia" w:cs="Georgia"/>
          <w:bCs/>
          <w:sz w:val="24"/>
          <w:szCs w:val="24"/>
        </w:rPr>
      </w:pPr>
      <w:r w:rsidRPr="00E57D41">
        <w:rPr>
          <w:rFonts w:ascii="Georgia" w:eastAsia="Georgia" w:hAnsi="Georgia" w:cs="Georgia"/>
          <w:bCs/>
          <w:sz w:val="24"/>
          <w:szCs w:val="24"/>
        </w:rPr>
        <w:t>It is necessary to get out of the national logic in order to recover a high level of analysis and elaboration, not conditioned by demagogy and opportunism that bog down the political-institutional debate at “domestic” level.</w:t>
      </w:r>
    </w:p>
    <w:p w14:paraId="3E133CD5" w14:textId="77777777" w:rsidR="00E57D41" w:rsidRPr="00E57D41" w:rsidRDefault="00E57D41" w:rsidP="00E57D41">
      <w:pPr>
        <w:spacing w:after="0" w:line="360" w:lineRule="auto"/>
        <w:jc w:val="both"/>
        <w:rPr>
          <w:rFonts w:ascii="Georgia" w:eastAsia="Georgia" w:hAnsi="Georgia" w:cs="Georgia"/>
          <w:bCs/>
          <w:sz w:val="24"/>
          <w:szCs w:val="24"/>
        </w:rPr>
      </w:pPr>
      <w:r w:rsidRPr="00E57D41">
        <w:rPr>
          <w:rFonts w:ascii="Georgia" w:eastAsia="Georgia" w:hAnsi="Georgia" w:cs="Georgia"/>
          <w:bCs/>
          <w:sz w:val="24"/>
          <w:szCs w:val="24"/>
        </w:rPr>
        <w:lastRenderedPageBreak/>
        <w:t>Therefore, as a key to interpreting the digital transformation of relations between tax authorities and taxpayers, it seems worthwhile to take up the debate opened in the OECD global forum.</w:t>
      </w:r>
    </w:p>
    <w:p w14:paraId="03119D10" w14:textId="77777777" w:rsidR="00E57D41" w:rsidRPr="00E57D41" w:rsidRDefault="00E57D41" w:rsidP="00E57D41">
      <w:pPr>
        <w:spacing w:after="0" w:line="360" w:lineRule="auto"/>
        <w:jc w:val="both"/>
        <w:rPr>
          <w:rFonts w:ascii="Georgia" w:eastAsia="Georgia" w:hAnsi="Georgia" w:cs="Georgia"/>
          <w:bCs/>
          <w:sz w:val="24"/>
          <w:szCs w:val="24"/>
        </w:rPr>
      </w:pPr>
      <w:r w:rsidRPr="00E57D41">
        <w:rPr>
          <w:rFonts w:ascii="Georgia" w:eastAsia="Georgia" w:hAnsi="Georgia" w:cs="Georgia"/>
          <w:bCs/>
          <w:sz w:val="24"/>
          <w:szCs w:val="24"/>
        </w:rPr>
        <w:t xml:space="preserve">The OECD is now 60 years old and has taken root as an undisputed protagonist in the international scenario of policies for economic development but, as is well known to scholars of public finance and taxation, at the very moment when it was about to achieve its most ambitious results with the BEPS actions, a profound crisis of multilateralism occurred, due to the </w:t>
      </w:r>
      <w:proofErr w:type="spellStart"/>
      <w:r w:rsidRPr="00E57D41">
        <w:rPr>
          <w:rFonts w:ascii="Georgia" w:eastAsia="Georgia" w:hAnsi="Georgia" w:cs="Georgia"/>
          <w:bCs/>
          <w:sz w:val="24"/>
          <w:szCs w:val="24"/>
        </w:rPr>
        <w:t>sovereignist</w:t>
      </w:r>
      <w:proofErr w:type="spellEnd"/>
      <w:r w:rsidRPr="00E57D41">
        <w:rPr>
          <w:rFonts w:ascii="Georgia" w:eastAsia="Georgia" w:hAnsi="Georgia" w:cs="Georgia"/>
          <w:bCs/>
          <w:sz w:val="24"/>
          <w:szCs w:val="24"/>
        </w:rPr>
        <w:t xml:space="preserve"> policies of the Trump presidency, which have relegated the United States and international relations to the old logic of bilateralism. </w:t>
      </w:r>
    </w:p>
    <w:p w14:paraId="55C30E95" w14:textId="77777777" w:rsidR="00E57D41" w:rsidRPr="00E57D41" w:rsidRDefault="00E57D41" w:rsidP="00E57D41">
      <w:pPr>
        <w:spacing w:after="0" w:line="360" w:lineRule="auto"/>
        <w:jc w:val="both"/>
        <w:rPr>
          <w:rFonts w:ascii="Georgia" w:eastAsia="Georgia" w:hAnsi="Georgia" w:cs="Georgia"/>
          <w:bCs/>
          <w:sz w:val="24"/>
          <w:szCs w:val="24"/>
        </w:rPr>
      </w:pPr>
      <w:r w:rsidRPr="00E57D41">
        <w:rPr>
          <w:rFonts w:ascii="Georgia" w:eastAsia="Georgia" w:hAnsi="Georgia" w:cs="Georgia"/>
          <w:bCs/>
          <w:sz w:val="24"/>
          <w:szCs w:val="24"/>
        </w:rPr>
        <w:t xml:space="preserve">Now, with the Biden presidency there is hope that the United States will return to supporting multilateralism. </w:t>
      </w:r>
    </w:p>
    <w:p w14:paraId="37134492" w14:textId="77777777" w:rsidR="00E57D41" w:rsidRPr="00E57D41" w:rsidRDefault="00E57D41" w:rsidP="00E57D41">
      <w:pPr>
        <w:spacing w:after="0" w:line="360" w:lineRule="auto"/>
        <w:jc w:val="both"/>
        <w:rPr>
          <w:rFonts w:ascii="Georgia" w:eastAsia="Georgia" w:hAnsi="Georgia" w:cs="Georgia"/>
          <w:bCs/>
          <w:sz w:val="24"/>
          <w:szCs w:val="24"/>
        </w:rPr>
      </w:pPr>
      <w:r w:rsidRPr="00E57D41">
        <w:rPr>
          <w:rFonts w:ascii="Georgia" w:eastAsia="Georgia" w:hAnsi="Georgia" w:cs="Georgia"/>
          <w:bCs/>
          <w:sz w:val="24"/>
          <w:szCs w:val="24"/>
        </w:rPr>
        <w:t xml:space="preserve">In the coming years we will have the opportunity to understand how the dynamics of multilateralism may develop, what is certain is that the OECD in the last ten years has shown extraordinary responsiveness, acting as a true global forum. </w:t>
      </w:r>
    </w:p>
    <w:p w14:paraId="793A68BB" w14:textId="77777777" w:rsidR="00E57D41" w:rsidRPr="00E57D41" w:rsidRDefault="00E57D41" w:rsidP="00E57D41">
      <w:pPr>
        <w:spacing w:after="0" w:line="360" w:lineRule="auto"/>
        <w:jc w:val="both"/>
        <w:rPr>
          <w:rFonts w:ascii="Georgia" w:eastAsia="Georgia" w:hAnsi="Georgia" w:cs="Georgia"/>
          <w:bCs/>
          <w:sz w:val="24"/>
          <w:szCs w:val="24"/>
        </w:rPr>
      </w:pPr>
      <w:r w:rsidRPr="00E57D41">
        <w:rPr>
          <w:rFonts w:ascii="Georgia" w:eastAsia="Georgia" w:hAnsi="Georgia" w:cs="Georgia"/>
          <w:bCs/>
          <w:sz w:val="24"/>
          <w:szCs w:val="24"/>
        </w:rPr>
        <w:t xml:space="preserve">As far as the area of public finance and taxation is concerned, this is the only global forum in which the countries are placed at a high level of analysis and elaboration free (or at least lightened) from domestic conditioning. </w:t>
      </w:r>
    </w:p>
    <w:p w14:paraId="50D0CA04" w14:textId="77777777" w:rsidR="00E57D41" w:rsidRPr="00E57D41" w:rsidRDefault="00E57D41" w:rsidP="00E57D41">
      <w:pPr>
        <w:spacing w:after="0" w:line="360" w:lineRule="auto"/>
        <w:jc w:val="both"/>
        <w:rPr>
          <w:rFonts w:ascii="Georgia" w:eastAsia="Georgia" w:hAnsi="Georgia" w:cs="Georgia"/>
          <w:bCs/>
          <w:sz w:val="24"/>
          <w:szCs w:val="24"/>
        </w:rPr>
      </w:pPr>
      <w:r w:rsidRPr="00E57D41">
        <w:rPr>
          <w:rFonts w:ascii="Georgia" w:eastAsia="Georgia" w:hAnsi="Georgia" w:cs="Georgia"/>
          <w:bCs/>
          <w:sz w:val="24"/>
          <w:szCs w:val="24"/>
        </w:rPr>
        <w:t>It is no coincidence that in 2011, for its first 50 years, the OECD adopted the motto "Better policies for better lives".</w:t>
      </w:r>
    </w:p>
    <w:p w14:paraId="74E2CD7F" w14:textId="77777777" w:rsidR="00E57D41" w:rsidRPr="00E57D41" w:rsidRDefault="00E57D41" w:rsidP="00E57D41">
      <w:pPr>
        <w:spacing w:after="0" w:line="360" w:lineRule="auto"/>
        <w:jc w:val="both"/>
        <w:rPr>
          <w:rFonts w:ascii="Georgia" w:eastAsia="Georgia" w:hAnsi="Georgia" w:cs="Georgia"/>
          <w:bCs/>
          <w:sz w:val="24"/>
          <w:szCs w:val="24"/>
        </w:rPr>
      </w:pPr>
      <w:r w:rsidRPr="00E57D41">
        <w:rPr>
          <w:rFonts w:ascii="Georgia" w:eastAsia="Georgia" w:hAnsi="Georgia" w:cs="Georgia"/>
          <w:bCs/>
          <w:sz w:val="24"/>
          <w:szCs w:val="24"/>
        </w:rPr>
        <w:t xml:space="preserve">Examining the contributions of the OECD on the theme of digital transformation, it seems possible to identify the recognition of virtuous constraints of coherence, balance and safeguarding of the relationship of trust between citizens and authorities. </w:t>
      </w:r>
    </w:p>
    <w:p w14:paraId="3BF27D5E" w14:textId="77777777" w:rsidR="00E57D41" w:rsidRPr="00E57D41" w:rsidRDefault="00E57D41" w:rsidP="00E57D41">
      <w:pPr>
        <w:spacing w:after="0" w:line="360" w:lineRule="auto"/>
        <w:jc w:val="both"/>
        <w:rPr>
          <w:rFonts w:ascii="Georgia" w:eastAsia="Georgia" w:hAnsi="Georgia" w:cs="Georgia"/>
          <w:bCs/>
          <w:sz w:val="24"/>
          <w:szCs w:val="24"/>
        </w:rPr>
      </w:pPr>
      <w:r w:rsidRPr="00E57D41">
        <w:rPr>
          <w:rFonts w:ascii="Georgia" w:eastAsia="Georgia" w:hAnsi="Georgia" w:cs="Georgia"/>
          <w:bCs/>
          <w:sz w:val="24"/>
          <w:szCs w:val="24"/>
        </w:rPr>
        <w:t>Thus, also the digital transformation in tax matters cannot escape the traditional limits related to the normal powers of the tax authorities. The “acquis” of the rule of law cannot be overwhelmed by digital transformation.</w:t>
      </w:r>
    </w:p>
    <w:p w14:paraId="60C05F48" w14:textId="7F8185FE" w:rsidR="00E57D41" w:rsidRPr="00E57D41" w:rsidRDefault="00E57D41" w:rsidP="00E57D41">
      <w:pPr>
        <w:spacing w:after="0" w:line="360" w:lineRule="auto"/>
        <w:jc w:val="both"/>
        <w:rPr>
          <w:rFonts w:ascii="Georgia" w:eastAsia="Georgia" w:hAnsi="Georgia" w:cs="Georgia"/>
          <w:bCs/>
          <w:sz w:val="24"/>
          <w:szCs w:val="24"/>
        </w:rPr>
      </w:pPr>
      <w:r w:rsidRPr="00E57D41">
        <w:rPr>
          <w:rFonts w:ascii="Georgia" w:eastAsia="Georgia" w:hAnsi="Georgia" w:cs="Georgia"/>
          <w:bCs/>
          <w:sz w:val="24"/>
          <w:szCs w:val="24"/>
        </w:rPr>
        <w:t>Through the analysis of the OECD contributions, an attempt will be made to understand whether there is any convergence on a fundamental line of legal consistency that is widely spread in legal doctrine: as well as the digital transformation takes shape, greatly strengthening the powers of tax authorities, the system of taxpayers' guarantees must be modernized and proportionally strengthened</w:t>
      </w:r>
      <w:r>
        <w:rPr>
          <w:rFonts w:ascii="Georgia" w:eastAsia="Georgia" w:hAnsi="Georgia" w:cs="Georgia"/>
          <w:bCs/>
          <w:sz w:val="24"/>
          <w:szCs w:val="24"/>
        </w:rPr>
        <w:t>.</w:t>
      </w:r>
      <w:r w:rsidRPr="00E57D41">
        <w:rPr>
          <w:rFonts w:ascii="Georgia" w:eastAsia="Georgia" w:hAnsi="Georgia" w:cs="Georgia"/>
          <w:bCs/>
          <w:sz w:val="24"/>
          <w:szCs w:val="24"/>
          <w:vertAlign w:val="superscript"/>
          <w:lang w:val="it-IT"/>
        </w:rPr>
        <w:footnoteReference w:id="2"/>
      </w:r>
    </w:p>
    <w:p w14:paraId="0000002D" w14:textId="77777777" w:rsidR="00956D20" w:rsidRDefault="00956D20">
      <w:pPr>
        <w:rPr>
          <w:rFonts w:ascii="Georgia" w:eastAsia="Georgia" w:hAnsi="Georgia" w:cs="Georgia"/>
          <w:b/>
          <w:sz w:val="24"/>
          <w:szCs w:val="24"/>
        </w:rPr>
      </w:pPr>
    </w:p>
    <w:p w14:paraId="0D23A44E" w14:textId="77777777" w:rsidR="00D11FA8" w:rsidRPr="00F36412" w:rsidRDefault="00D11FA8" w:rsidP="00D11FA8">
      <w:pPr>
        <w:outlineLvl w:val="0"/>
        <w:rPr>
          <w:rFonts w:ascii="Georgia" w:hAnsi="Georgia"/>
          <w:b/>
          <w:bCs/>
          <w:sz w:val="24"/>
          <w:szCs w:val="24"/>
        </w:rPr>
      </w:pPr>
      <w:bookmarkStart w:id="1" w:name="_Toc58508963"/>
      <w:bookmarkStart w:id="2" w:name="_Toc62814298"/>
      <w:r>
        <w:rPr>
          <w:rFonts w:ascii="Georgia" w:hAnsi="Georgia"/>
          <w:b/>
          <w:bCs/>
          <w:sz w:val="24"/>
          <w:szCs w:val="24"/>
        </w:rPr>
        <w:t>2</w:t>
      </w:r>
      <w:r w:rsidRPr="00F36412">
        <w:rPr>
          <w:rFonts w:ascii="Georgia" w:hAnsi="Georgia"/>
          <w:b/>
          <w:bCs/>
          <w:sz w:val="24"/>
          <w:szCs w:val="24"/>
        </w:rPr>
        <w:t>. OECD’s Concern on Taxpayers’ Trust</w:t>
      </w:r>
      <w:bookmarkEnd w:id="1"/>
      <w:bookmarkEnd w:id="2"/>
    </w:p>
    <w:p w14:paraId="2B62EE56" w14:textId="77777777" w:rsidR="00D11FA8" w:rsidRDefault="00D11FA8" w:rsidP="00D11FA8">
      <w:pPr>
        <w:spacing w:after="0" w:line="360" w:lineRule="auto"/>
        <w:jc w:val="both"/>
        <w:rPr>
          <w:rFonts w:ascii="Georgia" w:hAnsi="Georgia"/>
          <w:sz w:val="24"/>
          <w:szCs w:val="24"/>
        </w:rPr>
      </w:pPr>
      <w:r>
        <w:rPr>
          <w:rFonts w:ascii="Georgia" w:hAnsi="Georgia"/>
          <w:sz w:val="24"/>
          <w:szCs w:val="24"/>
        </w:rPr>
        <w:lastRenderedPageBreak/>
        <w:t>The OECD digital transformation process keeps an eye on “trust”, intended as “</w:t>
      </w:r>
      <w:r w:rsidRPr="00334EB7">
        <w:rPr>
          <w:rFonts w:ascii="Georgia" w:hAnsi="Georgia"/>
          <w:i/>
          <w:iCs/>
          <w:sz w:val="24"/>
          <w:szCs w:val="24"/>
        </w:rPr>
        <w:t>a person</w:t>
      </w:r>
      <w:r>
        <w:rPr>
          <w:rFonts w:ascii="Georgia" w:hAnsi="Georgia"/>
          <w:i/>
          <w:iCs/>
          <w:sz w:val="24"/>
          <w:szCs w:val="24"/>
        </w:rPr>
        <w:t>’s</w:t>
      </w:r>
      <w:r w:rsidRPr="00334EB7">
        <w:rPr>
          <w:rFonts w:ascii="Georgia" w:hAnsi="Georgia"/>
          <w:i/>
          <w:iCs/>
          <w:sz w:val="24"/>
          <w:szCs w:val="24"/>
        </w:rPr>
        <w:t xml:space="preserve"> belief that another person or institution will act consistently with their expectations of positive</w:t>
      </w:r>
      <w:r w:rsidRPr="00334EB7">
        <w:rPr>
          <w:rFonts w:ascii="Georgia" w:hAnsi="Georgia"/>
          <w:i/>
          <w:iCs/>
          <w:sz w:val="24"/>
          <w:szCs w:val="24"/>
          <w:lang w:val="en-GB"/>
        </w:rPr>
        <w:t xml:space="preserve"> behaviours</w:t>
      </w:r>
      <w:r>
        <w:rPr>
          <w:rFonts w:ascii="Georgia" w:hAnsi="Georgia"/>
          <w:sz w:val="24"/>
          <w:szCs w:val="24"/>
        </w:rPr>
        <w:t>”.</w:t>
      </w:r>
      <w:r>
        <w:rPr>
          <w:rStyle w:val="Rimandonotaapidipagina"/>
          <w:rFonts w:ascii="Georgia" w:hAnsi="Georgia"/>
          <w:sz w:val="24"/>
          <w:szCs w:val="24"/>
        </w:rPr>
        <w:footnoteReference w:id="3"/>
      </w:r>
      <w:r>
        <w:rPr>
          <w:rFonts w:ascii="Georgia" w:hAnsi="Georgia"/>
          <w:sz w:val="24"/>
          <w:szCs w:val="24"/>
        </w:rPr>
        <w:t>Digital transformation enriches such a concept with further facets, which basically consist in uncertainties and interdependencies stemming from the digital environment. Since trust is considered to be “</w:t>
      </w:r>
      <w:r w:rsidRPr="00334EB7">
        <w:rPr>
          <w:rFonts w:ascii="Georgia" w:hAnsi="Georgia"/>
          <w:i/>
          <w:iCs/>
          <w:sz w:val="24"/>
          <w:szCs w:val="24"/>
        </w:rPr>
        <w:t>a key condition to fully</w:t>
      </w:r>
      <w:r w:rsidRPr="00334EB7">
        <w:rPr>
          <w:rFonts w:ascii="Georgia" w:hAnsi="Georgia"/>
          <w:i/>
          <w:iCs/>
          <w:sz w:val="24"/>
          <w:szCs w:val="24"/>
          <w:lang w:val="en-GB"/>
        </w:rPr>
        <w:t xml:space="preserve"> realise</w:t>
      </w:r>
      <w:r w:rsidRPr="00334EB7">
        <w:rPr>
          <w:rFonts w:ascii="Georgia" w:hAnsi="Georgia"/>
          <w:i/>
          <w:iCs/>
          <w:sz w:val="24"/>
          <w:szCs w:val="24"/>
        </w:rPr>
        <w:t xml:space="preserve"> the potential growth and social progress in the digital age</w:t>
      </w:r>
      <w:r>
        <w:rPr>
          <w:rFonts w:ascii="Georgia" w:hAnsi="Georgia"/>
          <w:sz w:val="24"/>
          <w:szCs w:val="24"/>
        </w:rPr>
        <w:t>”</w:t>
      </w:r>
      <w:r>
        <w:rPr>
          <w:rStyle w:val="Rimandonotaapidipagina"/>
          <w:rFonts w:ascii="Georgia" w:hAnsi="Georgia"/>
          <w:sz w:val="24"/>
          <w:szCs w:val="24"/>
        </w:rPr>
        <w:footnoteReference w:id="4"/>
      </w:r>
      <w:r>
        <w:rPr>
          <w:rFonts w:ascii="Georgia" w:hAnsi="Georgia"/>
          <w:sz w:val="24"/>
          <w:szCs w:val="24"/>
        </w:rPr>
        <w:t>,  OECD focuses on a risk management approach to ensure trust both for individuals and organizations. Therefore, with the increase in use and in the value of data, privacy risks need to be better managed.</w:t>
      </w:r>
    </w:p>
    <w:p w14:paraId="0D5E1899" w14:textId="77777777" w:rsidR="00D11FA8" w:rsidRDefault="00D11FA8" w:rsidP="00D11FA8">
      <w:pPr>
        <w:spacing w:after="0" w:line="360" w:lineRule="auto"/>
        <w:jc w:val="both"/>
        <w:rPr>
          <w:rFonts w:ascii="Georgia" w:hAnsi="Georgia"/>
          <w:sz w:val="24"/>
          <w:szCs w:val="24"/>
        </w:rPr>
      </w:pPr>
      <w:r>
        <w:rPr>
          <w:rFonts w:ascii="Georgia" w:hAnsi="Georgia"/>
          <w:sz w:val="24"/>
          <w:szCs w:val="24"/>
        </w:rPr>
        <w:t xml:space="preserve">The OECD reports reveal the “dark” side of privacy importance: privacy is not crucial </w:t>
      </w:r>
      <w:r w:rsidRPr="009E2F82">
        <w:rPr>
          <w:rFonts w:ascii="Georgia" w:hAnsi="Georgia"/>
          <w:i/>
          <w:iCs/>
          <w:sz w:val="24"/>
          <w:szCs w:val="24"/>
        </w:rPr>
        <w:t>per se</w:t>
      </w:r>
      <w:r>
        <w:rPr>
          <w:rFonts w:ascii="Georgia" w:hAnsi="Georgia"/>
          <w:sz w:val="24"/>
          <w:szCs w:val="24"/>
        </w:rPr>
        <w:t xml:space="preserve"> as it represents a fundamental (but not absolute, </w:t>
      </w:r>
      <w:r w:rsidRPr="009E2F82">
        <w:rPr>
          <w:rFonts w:ascii="Georgia" w:hAnsi="Georgia"/>
          <w:i/>
          <w:iCs/>
          <w:sz w:val="24"/>
          <w:szCs w:val="24"/>
        </w:rPr>
        <w:t>infra</w:t>
      </w:r>
      <w:r>
        <w:rPr>
          <w:rFonts w:ascii="Georgia" w:hAnsi="Georgia"/>
          <w:sz w:val="24"/>
          <w:szCs w:val="24"/>
        </w:rPr>
        <w:t xml:space="preserve">) right since it is a condition for the free flow of personal data across borders and, consequently, is functional to innovation and economic growth. Therefore, the stress seems to be focused more on the free flow of personal data rather than- on data protection which is only as ancillary element: individual rights are a mere instrument for instilling trust and trust is fundamental for full transborder data flow. </w:t>
      </w:r>
    </w:p>
    <w:p w14:paraId="6DE25C04" w14:textId="77777777" w:rsidR="00D11FA8" w:rsidRDefault="00D11FA8" w:rsidP="00D11FA8">
      <w:pPr>
        <w:spacing w:after="0" w:line="360" w:lineRule="auto"/>
        <w:jc w:val="both"/>
        <w:rPr>
          <w:rFonts w:ascii="Georgia" w:hAnsi="Georgia"/>
          <w:sz w:val="24"/>
          <w:szCs w:val="24"/>
        </w:rPr>
      </w:pPr>
      <w:r>
        <w:rPr>
          <w:rFonts w:ascii="Georgia" w:hAnsi="Georgia"/>
          <w:sz w:val="24"/>
          <w:szCs w:val="24"/>
        </w:rPr>
        <w:t xml:space="preserve">This is particularly evident as long as OECD </w:t>
      </w:r>
      <w:r w:rsidRPr="007D0E3A">
        <w:rPr>
          <w:rFonts w:ascii="Georgia" w:hAnsi="Georgia"/>
          <w:sz w:val="24"/>
          <w:szCs w:val="24"/>
        </w:rPr>
        <w:t>Guidelines on the Protection of Privacy and Transborder Flows of Personal Data</w:t>
      </w:r>
      <w:r>
        <w:rPr>
          <w:rFonts w:ascii="Georgia" w:hAnsi="Georgia"/>
          <w:sz w:val="24"/>
          <w:szCs w:val="24"/>
        </w:rPr>
        <w:t xml:space="preserve"> </w:t>
      </w:r>
      <w:r w:rsidRPr="007D0E3A">
        <w:rPr>
          <w:rFonts w:ascii="Georgia" w:hAnsi="Georgia"/>
          <w:sz w:val="24"/>
          <w:szCs w:val="24"/>
        </w:rPr>
        <w:t>peremptorily</w:t>
      </w:r>
      <w:r>
        <w:rPr>
          <w:rFonts w:ascii="Georgia" w:hAnsi="Georgia"/>
          <w:sz w:val="24"/>
          <w:szCs w:val="24"/>
        </w:rPr>
        <w:t xml:space="preserve"> prevents States from </w:t>
      </w:r>
      <w:r w:rsidRPr="007D0E3A">
        <w:rPr>
          <w:rFonts w:ascii="Georgia" w:hAnsi="Georgia"/>
          <w:sz w:val="24"/>
          <w:szCs w:val="24"/>
        </w:rPr>
        <w:t>creat</w:t>
      </w:r>
      <w:r>
        <w:rPr>
          <w:rFonts w:ascii="Georgia" w:hAnsi="Georgia"/>
          <w:sz w:val="24"/>
          <w:szCs w:val="24"/>
        </w:rPr>
        <w:t>ing</w:t>
      </w:r>
      <w:r w:rsidRPr="007D0E3A">
        <w:rPr>
          <w:rFonts w:ascii="Georgia" w:hAnsi="Georgia"/>
          <w:sz w:val="24"/>
          <w:szCs w:val="24"/>
        </w:rPr>
        <w:t xml:space="preserve"> obstacles to transborder flows of personal data</w:t>
      </w:r>
      <w:r>
        <w:rPr>
          <w:rFonts w:ascii="Georgia" w:hAnsi="Georgia"/>
          <w:sz w:val="24"/>
          <w:szCs w:val="24"/>
        </w:rPr>
        <w:t xml:space="preserve"> “</w:t>
      </w:r>
      <w:r w:rsidRPr="00223F76">
        <w:rPr>
          <w:rFonts w:ascii="Georgia" w:hAnsi="Georgia"/>
          <w:i/>
          <w:iCs/>
          <w:sz w:val="24"/>
          <w:szCs w:val="24"/>
        </w:rPr>
        <w:t>in the name of the protection of privacy and individual liberties</w:t>
      </w:r>
      <w:r>
        <w:rPr>
          <w:rFonts w:ascii="Georgia" w:hAnsi="Georgia"/>
          <w:sz w:val="24"/>
          <w:szCs w:val="24"/>
        </w:rPr>
        <w:t xml:space="preserve">” if such limitations </w:t>
      </w:r>
      <w:r w:rsidRPr="007D0E3A">
        <w:rPr>
          <w:rFonts w:ascii="Georgia" w:hAnsi="Georgia"/>
          <w:sz w:val="24"/>
          <w:szCs w:val="24"/>
        </w:rPr>
        <w:t>exceed requirements for protection</w:t>
      </w:r>
      <w:r>
        <w:rPr>
          <w:rFonts w:ascii="Georgia" w:hAnsi="Georgia"/>
          <w:sz w:val="24"/>
          <w:szCs w:val="24"/>
        </w:rPr>
        <w:t>.</w:t>
      </w:r>
      <w:r>
        <w:rPr>
          <w:rStyle w:val="Rimandonotaapidipagina"/>
          <w:rFonts w:ascii="Georgia" w:hAnsi="Georgia"/>
          <w:sz w:val="24"/>
          <w:szCs w:val="24"/>
        </w:rPr>
        <w:footnoteReference w:id="5"/>
      </w:r>
      <w:r>
        <w:rPr>
          <w:rFonts w:ascii="Georgia" w:hAnsi="Georgia"/>
          <w:sz w:val="24"/>
          <w:szCs w:val="24"/>
        </w:rPr>
        <w:t xml:space="preserve"> Therefore, privacy protection is strictly “</w:t>
      </w:r>
      <w:proofErr w:type="spellStart"/>
      <w:r>
        <w:rPr>
          <w:rFonts w:ascii="Georgia" w:hAnsi="Georgia"/>
          <w:sz w:val="24"/>
          <w:szCs w:val="24"/>
        </w:rPr>
        <w:t>armoured</w:t>
      </w:r>
      <w:proofErr w:type="spellEnd"/>
      <w:r>
        <w:rPr>
          <w:rFonts w:ascii="Georgia" w:hAnsi="Georgia"/>
          <w:sz w:val="24"/>
          <w:szCs w:val="24"/>
        </w:rPr>
        <w:t>” within the limit of equivalence and proportionality.</w:t>
      </w:r>
    </w:p>
    <w:p w14:paraId="1FF0F104" w14:textId="77777777" w:rsidR="00D11FA8" w:rsidRDefault="00D11FA8" w:rsidP="00D11FA8">
      <w:pPr>
        <w:spacing w:after="0" w:line="360" w:lineRule="auto"/>
        <w:jc w:val="both"/>
        <w:rPr>
          <w:rFonts w:ascii="Georgia" w:hAnsi="Georgia"/>
          <w:sz w:val="24"/>
          <w:szCs w:val="24"/>
        </w:rPr>
      </w:pPr>
      <w:r>
        <w:rPr>
          <w:rFonts w:ascii="Georgia" w:hAnsi="Georgia"/>
          <w:sz w:val="24"/>
          <w:szCs w:val="24"/>
        </w:rPr>
        <w:t xml:space="preserve">Firstly, a State may impose restrictions if another </w:t>
      </w:r>
      <w:r w:rsidRPr="00C925EE">
        <w:rPr>
          <w:rFonts w:ascii="Georgia" w:hAnsi="Georgia"/>
          <w:sz w:val="24"/>
          <w:szCs w:val="24"/>
        </w:rPr>
        <w:t xml:space="preserve">Member country does not yet substantially observe </w:t>
      </w:r>
      <w:r>
        <w:rPr>
          <w:rFonts w:ascii="Georgia" w:hAnsi="Georgia"/>
          <w:sz w:val="24"/>
          <w:szCs w:val="24"/>
        </w:rPr>
        <w:t>OECD</w:t>
      </w:r>
      <w:r w:rsidRPr="00C925EE">
        <w:rPr>
          <w:rFonts w:ascii="Georgia" w:hAnsi="Georgia"/>
          <w:sz w:val="24"/>
          <w:szCs w:val="24"/>
        </w:rPr>
        <w:t xml:space="preserve"> Guidelines or </w:t>
      </w:r>
      <w:r>
        <w:rPr>
          <w:rFonts w:ascii="Georgia" w:hAnsi="Georgia"/>
          <w:sz w:val="24"/>
          <w:szCs w:val="24"/>
        </w:rPr>
        <w:t>in the case in which</w:t>
      </w:r>
      <w:r w:rsidRPr="00C925EE">
        <w:rPr>
          <w:rFonts w:ascii="Georgia" w:hAnsi="Georgia"/>
          <w:sz w:val="24"/>
          <w:szCs w:val="24"/>
        </w:rPr>
        <w:t xml:space="preserve"> the re-export of data would circumvent its domestic privacy legislation</w:t>
      </w:r>
      <w:r>
        <w:rPr>
          <w:rFonts w:ascii="Georgia" w:hAnsi="Georgia"/>
          <w:sz w:val="24"/>
          <w:szCs w:val="24"/>
        </w:rPr>
        <w:t xml:space="preserve">; a second derogation concerns </w:t>
      </w:r>
      <w:r w:rsidRPr="00223F76">
        <w:rPr>
          <w:rFonts w:ascii="Georgia" w:hAnsi="Georgia"/>
          <w:sz w:val="24"/>
          <w:szCs w:val="24"/>
        </w:rPr>
        <w:t>certain categories of personal data</w:t>
      </w:r>
      <w:r>
        <w:rPr>
          <w:rFonts w:ascii="Georgia" w:hAnsi="Georgia"/>
          <w:sz w:val="24"/>
          <w:szCs w:val="24"/>
        </w:rPr>
        <w:t xml:space="preserve"> protected in the State’s legislation if the other Member State does not provide for an equivalent protection. In any case, restrictions have to be proportionate. This means that, according to the OECD approach, the principle of proportionality needs to be evaluated with reference to limitations</w:t>
      </w:r>
      <w:r w:rsidRPr="00204A7F">
        <w:t xml:space="preserve"> </w:t>
      </w:r>
      <w:r w:rsidRPr="00204A7F">
        <w:rPr>
          <w:rFonts w:ascii="Georgia" w:hAnsi="Georgia"/>
          <w:sz w:val="24"/>
          <w:szCs w:val="24"/>
        </w:rPr>
        <w:t xml:space="preserve">to transborder flows of personal </w:t>
      </w:r>
      <w:r>
        <w:rPr>
          <w:rFonts w:ascii="Georgia" w:hAnsi="Georgia"/>
          <w:sz w:val="24"/>
          <w:szCs w:val="24"/>
        </w:rPr>
        <w:t>data (among which data protection is included) and not to possible data protection</w:t>
      </w:r>
      <w:r w:rsidRPr="004E6506">
        <w:rPr>
          <w:rFonts w:ascii="Georgia" w:hAnsi="Georgia"/>
          <w:sz w:val="24"/>
          <w:szCs w:val="24"/>
        </w:rPr>
        <w:t xml:space="preserve"> </w:t>
      </w:r>
      <w:r>
        <w:rPr>
          <w:rFonts w:ascii="Georgia" w:hAnsi="Georgia"/>
          <w:sz w:val="24"/>
          <w:szCs w:val="24"/>
        </w:rPr>
        <w:t xml:space="preserve">derogation. This </w:t>
      </w:r>
      <w:r w:rsidRPr="00282D1D">
        <w:rPr>
          <w:rFonts w:ascii="Georgia" w:hAnsi="Georgia"/>
          <w:sz w:val="24"/>
          <w:szCs w:val="24"/>
        </w:rPr>
        <w:t>implement</w:t>
      </w:r>
      <w:r>
        <w:rPr>
          <w:rFonts w:ascii="Georgia" w:hAnsi="Georgia"/>
          <w:sz w:val="24"/>
          <w:szCs w:val="24"/>
        </w:rPr>
        <w:t>s</w:t>
      </w:r>
      <w:r w:rsidRPr="00282D1D">
        <w:rPr>
          <w:rFonts w:ascii="Georgia" w:hAnsi="Georgia"/>
          <w:sz w:val="24"/>
          <w:szCs w:val="24"/>
        </w:rPr>
        <w:t xml:space="preserve"> a risk-based approach</w:t>
      </w:r>
      <w:r>
        <w:rPr>
          <w:rFonts w:ascii="Georgia" w:hAnsi="Georgia"/>
          <w:sz w:val="24"/>
          <w:szCs w:val="24"/>
        </w:rPr>
        <w:t xml:space="preserve">, according to which </w:t>
      </w:r>
      <w:r w:rsidRPr="00282D1D">
        <w:rPr>
          <w:rFonts w:ascii="Georgia" w:hAnsi="Georgia"/>
          <w:sz w:val="24"/>
          <w:szCs w:val="24"/>
        </w:rPr>
        <w:t>any restrictions upon</w:t>
      </w:r>
      <w:r>
        <w:rPr>
          <w:rFonts w:ascii="Georgia" w:hAnsi="Georgia"/>
          <w:sz w:val="24"/>
          <w:szCs w:val="24"/>
        </w:rPr>
        <w:t xml:space="preserve"> </w:t>
      </w:r>
      <w:r w:rsidRPr="00282D1D">
        <w:rPr>
          <w:rFonts w:ascii="Georgia" w:hAnsi="Georgia"/>
          <w:sz w:val="24"/>
          <w:szCs w:val="24"/>
        </w:rPr>
        <w:t>transborder data flows imposed by Member countries should be</w:t>
      </w:r>
      <w:r>
        <w:rPr>
          <w:rFonts w:ascii="Georgia" w:hAnsi="Georgia"/>
          <w:sz w:val="24"/>
          <w:szCs w:val="24"/>
        </w:rPr>
        <w:t xml:space="preserve"> </w:t>
      </w:r>
      <w:r w:rsidRPr="00282D1D">
        <w:rPr>
          <w:rFonts w:ascii="Georgia" w:hAnsi="Georgia"/>
          <w:sz w:val="24"/>
          <w:szCs w:val="24"/>
        </w:rPr>
        <w:t>proportionate to the risks presented</w:t>
      </w:r>
      <w:r>
        <w:rPr>
          <w:rFonts w:ascii="Georgia" w:hAnsi="Georgia"/>
          <w:sz w:val="24"/>
          <w:szCs w:val="24"/>
        </w:rPr>
        <w:t xml:space="preserve">, </w:t>
      </w:r>
      <w:r w:rsidRPr="00282D1D">
        <w:rPr>
          <w:rFonts w:ascii="Georgia" w:hAnsi="Georgia"/>
          <w:sz w:val="24"/>
          <w:szCs w:val="24"/>
        </w:rPr>
        <w:t>taking into account data sensitivity, purpose and processing</w:t>
      </w:r>
      <w:r w:rsidRPr="004E6506">
        <w:rPr>
          <w:rFonts w:ascii="Georgia" w:hAnsi="Georgia"/>
          <w:sz w:val="24"/>
          <w:szCs w:val="24"/>
        </w:rPr>
        <w:t xml:space="preserve"> </w:t>
      </w:r>
      <w:r w:rsidRPr="00282D1D">
        <w:rPr>
          <w:rFonts w:ascii="Georgia" w:hAnsi="Georgia"/>
          <w:sz w:val="24"/>
          <w:szCs w:val="24"/>
        </w:rPr>
        <w:t>context</w:t>
      </w:r>
      <w:r>
        <w:rPr>
          <w:rFonts w:ascii="Georgia" w:hAnsi="Georgia"/>
          <w:sz w:val="24"/>
          <w:szCs w:val="24"/>
        </w:rPr>
        <w:t xml:space="preserve">. </w:t>
      </w:r>
    </w:p>
    <w:p w14:paraId="795AE35E" w14:textId="77777777" w:rsidR="00D11FA8" w:rsidRDefault="00D11FA8" w:rsidP="00D11FA8">
      <w:pPr>
        <w:spacing w:after="0" w:line="360" w:lineRule="auto"/>
        <w:jc w:val="both"/>
        <w:rPr>
          <w:rFonts w:ascii="Georgia" w:hAnsi="Georgia"/>
          <w:sz w:val="24"/>
          <w:szCs w:val="24"/>
        </w:rPr>
      </w:pPr>
      <w:r>
        <w:rPr>
          <w:rFonts w:ascii="Georgia" w:hAnsi="Georgia"/>
          <w:sz w:val="24"/>
          <w:szCs w:val="24"/>
        </w:rPr>
        <w:lastRenderedPageBreak/>
        <w:t>In the</w:t>
      </w:r>
      <w:r w:rsidRPr="00892072">
        <w:rPr>
          <w:rFonts w:ascii="Georgia" w:hAnsi="Georgia"/>
          <w:sz w:val="24"/>
          <w:szCs w:val="24"/>
        </w:rPr>
        <w:t xml:space="preserve"> inherent conflict between </w:t>
      </w:r>
      <w:r>
        <w:rPr>
          <w:rFonts w:ascii="Georgia" w:hAnsi="Georgia"/>
          <w:sz w:val="24"/>
          <w:szCs w:val="24"/>
        </w:rPr>
        <w:t xml:space="preserve">personal data </w:t>
      </w:r>
      <w:r w:rsidRPr="00892072">
        <w:rPr>
          <w:rFonts w:ascii="Georgia" w:hAnsi="Georgia"/>
          <w:sz w:val="24"/>
          <w:szCs w:val="24"/>
        </w:rPr>
        <w:t xml:space="preserve">protection and </w:t>
      </w:r>
      <w:r>
        <w:rPr>
          <w:rFonts w:ascii="Georgia" w:hAnsi="Georgia"/>
          <w:sz w:val="24"/>
          <w:szCs w:val="24"/>
        </w:rPr>
        <w:t xml:space="preserve">its </w:t>
      </w:r>
      <w:r w:rsidRPr="00892072">
        <w:rPr>
          <w:rFonts w:ascii="Georgia" w:hAnsi="Georgia"/>
          <w:sz w:val="24"/>
          <w:szCs w:val="24"/>
        </w:rPr>
        <w:t>free transborder flow</w:t>
      </w:r>
      <w:r>
        <w:rPr>
          <w:rFonts w:ascii="Georgia" w:hAnsi="Georgia"/>
          <w:sz w:val="24"/>
          <w:szCs w:val="24"/>
        </w:rPr>
        <w:t xml:space="preserve">, in the OECD approach, the latter prevails. </w:t>
      </w:r>
    </w:p>
    <w:p w14:paraId="2ED180D7" w14:textId="77777777" w:rsidR="00D11FA8" w:rsidRDefault="00D11FA8" w:rsidP="00D11FA8">
      <w:pPr>
        <w:spacing w:after="0" w:line="360" w:lineRule="auto"/>
        <w:jc w:val="both"/>
        <w:rPr>
          <w:rFonts w:ascii="Georgia" w:hAnsi="Georgia"/>
          <w:sz w:val="24"/>
          <w:szCs w:val="24"/>
        </w:rPr>
      </w:pPr>
      <w:r>
        <w:rPr>
          <w:rFonts w:ascii="Georgia" w:hAnsi="Georgia"/>
          <w:sz w:val="24"/>
          <w:szCs w:val="24"/>
        </w:rPr>
        <w:t>To this extent, the OECD view seems to be even more unbalanced than the EU one, since in EU GDPR data protection and</w:t>
      </w:r>
      <w:r w:rsidRPr="00FE6600">
        <w:rPr>
          <w:rFonts w:ascii="Georgia" w:hAnsi="Georgia"/>
          <w:sz w:val="24"/>
          <w:szCs w:val="24"/>
        </w:rPr>
        <w:t xml:space="preserve"> free flow of personal data between Member States</w:t>
      </w:r>
      <w:r>
        <w:rPr>
          <w:rFonts w:ascii="Georgia" w:hAnsi="Georgia"/>
          <w:sz w:val="24"/>
          <w:szCs w:val="24"/>
        </w:rPr>
        <w:t xml:space="preserve"> are equally promoted (p</w:t>
      </w:r>
      <w:r w:rsidRPr="00702F01">
        <w:rPr>
          <w:rFonts w:ascii="Georgia" w:hAnsi="Georgia"/>
          <w:sz w:val="24"/>
          <w:szCs w:val="24"/>
        </w:rPr>
        <w:t xml:space="preserve">lease refer to </w:t>
      </w:r>
      <w:r>
        <w:rPr>
          <w:rFonts w:ascii="Georgia" w:hAnsi="Georgia"/>
          <w:sz w:val="24"/>
          <w:szCs w:val="24"/>
        </w:rPr>
        <w:t>Chapter on</w:t>
      </w:r>
      <w:r w:rsidRPr="00702F01">
        <w:rPr>
          <w:rFonts w:ascii="Georgia" w:hAnsi="Georgia"/>
          <w:sz w:val="24"/>
          <w:szCs w:val="24"/>
        </w:rPr>
        <w:t xml:space="preserve"> </w:t>
      </w:r>
      <w:r>
        <w:rPr>
          <w:rFonts w:ascii="Georgia" w:hAnsi="Georgia"/>
          <w:sz w:val="24"/>
          <w:szCs w:val="24"/>
        </w:rPr>
        <w:t>EU approach</w:t>
      </w:r>
      <w:r w:rsidRPr="00702F01">
        <w:rPr>
          <w:rFonts w:ascii="Georgia" w:hAnsi="Georgia"/>
          <w:sz w:val="24"/>
          <w:szCs w:val="24"/>
        </w:rPr>
        <w:t xml:space="preserve"> for a specific analysis</w:t>
      </w:r>
      <w:r>
        <w:rPr>
          <w:rFonts w:ascii="Georgia" w:hAnsi="Georgia"/>
          <w:sz w:val="24"/>
          <w:szCs w:val="24"/>
        </w:rPr>
        <w:t xml:space="preserve">). Moreover, even if these Guidelines represent just a minimum standard, exceptions should be as few as possible, </w:t>
      </w:r>
      <w:r w:rsidRPr="00CF416C">
        <w:rPr>
          <w:rFonts w:ascii="Georgia" w:hAnsi="Georgia"/>
          <w:sz w:val="24"/>
          <w:szCs w:val="24"/>
        </w:rPr>
        <w:t>including those relating to national</w:t>
      </w:r>
      <w:r>
        <w:rPr>
          <w:rFonts w:ascii="Georgia" w:hAnsi="Georgia"/>
          <w:sz w:val="24"/>
          <w:szCs w:val="24"/>
        </w:rPr>
        <w:t xml:space="preserve"> </w:t>
      </w:r>
      <w:r w:rsidRPr="00CF416C">
        <w:rPr>
          <w:rFonts w:ascii="Georgia" w:hAnsi="Georgia"/>
          <w:sz w:val="24"/>
          <w:szCs w:val="24"/>
        </w:rPr>
        <w:t>sovereignty, national security and public policy</w:t>
      </w:r>
      <w:r>
        <w:rPr>
          <w:rFonts w:ascii="Georgia" w:hAnsi="Georgia"/>
          <w:sz w:val="24"/>
          <w:szCs w:val="24"/>
        </w:rPr>
        <w:t xml:space="preserve">: </w:t>
      </w:r>
      <w:r w:rsidRPr="00282D1D">
        <w:rPr>
          <w:rFonts w:ascii="Georgia" w:hAnsi="Georgia"/>
          <w:sz w:val="24"/>
          <w:szCs w:val="24"/>
        </w:rPr>
        <w:t xml:space="preserve">the </w:t>
      </w:r>
      <w:r>
        <w:rPr>
          <w:rFonts w:ascii="Georgia" w:hAnsi="Georgia"/>
          <w:sz w:val="24"/>
          <w:szCs w:val="24"/>
        </w:rPr>
        <w:t xml:space="preserve">possibility </w:t>
      </w:r>
      <w:r w:rsidRPr="00282D1D">
        <w:rPr>
          <w:rFonts w:ascii="Georgia" w:hAnsi="Georgia"/>
          <w:sz w:val="24"/>
          <w:szCs w:val="24"/>
        </w:rPr>
        <w:t>to supplement the standards set forth by the Guidelines with</w:t>
      </w:r>
      <w:r>
        <w:rPr>
          <w:rFonts w:ascii="Georgia" w:hAnsi="Georgia"/>
          <w:sz w:val="24"/>
          <w:szCs w:val="24"/>
        </w:rPr>
        <w:t xml:space="preserve"> </w:t>
      </w:r>
      <w:r w:rsidRPr="00282D1D">
        <w:rPr>
          <w:rFonts w:ascii="Georgia" w:hAnsi="Georgia"/>
          <w:sz w:val="24"/>
          <w:szCs w:val="24"/>
        </w:rPr>
        <w:t>additional measures</w:t>
      </w:r>
      <w:r>
        <w:rPr>
          <w:rFonts w:ascii="Georgia" w:hAnsi="Georgia"/>
          <w:sz w:val="24"/>
          <w:szCs w:val="24"/>
        </w:rPr>
        <w:t xml:space="preserve"> is </w:t>
      </w:r>
      <w:r w:rsidRPr="00282D1D">
        <w:rPr>
          <w:rFonts w:ascii="Georgia" w:hAnsi="Georgia"/>
          <w:sz w:val="24"/>
          <w:szCs w:val="24"/>
        </w:rPr>
        <w:t xml:space="preserve">admitted </w:t>
      </w:r>
      <w:r>
        <w:rPr>
          <w:rFonts w:ascii="Georgia" w:hAnsi="Georgia"/>
          <w:sz w:val="24"/>
          <w:szCs w:val="24"/>
        </w:rPr>
        <w:t xml:space="preserve">as long as it’s </w:t>
      </w:r>
      <w:r w:rsidRPr="00282D1D">
        <w:rPr>
          <w:rFonts w:ascii="Georgia" w:hAnsi="Georgia"/>
          <w:sz w:val="24"/>
          <w:szCs w:val="24"/>
        </w:rPr>
        <w:t>impact</w:t>
      </w:r>
      <w:r>
        <w:rPr>
          <w:rFonts w:ascii="Georgia" w:hAnsi="Georgia"/>
          <w:sz w:val="24"/>
          <w:szCs w:val="24"/>
        </w:rPr>
        <w:t xml:space="preserve"> on</w:t>
      </w:r>
      <w:r w:rsidRPr="00282D1D">
        <w:rPr>
          <w:rFonts w:ascii="Georgia" w:hAnsi="Georgia"/>
          <w:sz w:val="24"/>
          <w:szCs w:val="24"/>
        </w:rPr>
        <w:t xml:space="preserve"> personal data</w:t>
      </w:r>
      <w:r w:rsidRPr="00EB18F5">
        <w:rPr>
          <w:rFonts w:ascii="Georgia" w:hAnsi="Georgia"/>
          <w:sz w:val="24"/>
          <w:szCs w:val="24"/>
        </w:rPr>
        <w:t xml:space="preserve"> </w:t>
      </w:r>
      <w:r w:rsidRPr="00282D1D">
        <w:rPr>
          <w:rFonts w:ascii="Georgia" w:hAnsi="Georgia"/>
          <w:sz w:val="24"/>
          <w:szCs w:val="24"/>
        </w:rPr>
        <w:t>free</w:t>
      </w:r>
      <w:r>
        <w:rPr>
          <w:rFonts w:ascii="Georgia" w:hAnsi="Georgia"/>
          <w:sz w:val="24"/>
          <w:szCs w:val="24"/>
        </w:rPr>
        <w:t xml:space="preserve"> </w:t>
      </w:r>
      <w:r w:rsidRPr="00282D1D">
        <w:rPr>
          <w:rFonts w:ascii="Georgia" w:hAnsi="Georgia"/>
          <w:sz w:val="24"/>
          <w:szCs w:val="24"/>
        </w:rPr>
        <w:t>flow</w:t>
      </w:r>
      <w:r>
        <w:rPr>
          <w:rFonts w:ascii="Georgia" w:hAnsi="Georgia"/>
          <w:sz w:val="24"/>
          <w:szCs w:val="24"/>
        </w:rPr>
        <w:t xml:space="preserve"> remains minimum</w:t>
      </w:r>
      <w:r w:rsidRPr="00282D1D">
        <w:rPr>
          <w:rFonts w:ascii="Georgia" w:hAnsi="Georgia"/>
          <w:sz w:val="24"/>
          <w:szCs w:val="24"/>
        </w:rPr>
        <w:t>.</w:t>
      </w:r>
    </w:p>
    <w:p w14:paraId="15EEE6CD" w14:textId="7946B377" w:rsidR="00D11FA8" w:rsidRPr="00E57D41" w:rsidRDefault="00D11FA8" w:rsidP="00D11FA8">
      <w:pPr>
        <w:spacing w:after="0" w:line="360" w:lineRule="auto"/>
        <w:jc w:val="both"/>
        <w:rPr>
          <w:rFonts w:ascii="Georgia" w:hAnsi="Georgia"/>
          <w:i/>
          <w:iCs/>
          <w:sz w:val="24"/>
          <w:szCs w:val="24"/>
        </w:rPr>
      </w:pPr>
      <w:r>
        <w:rPr>
          <w:rFonts w:ascii="Georgia" w:hAnsi="Georgia"/>
          <w:sz w:val="24"/>
          <w:szCs w:val="24"/>
        </w:rPr>
        <w:t>In the most recent Report, transparency and trust are the key drivers of Tax Administration 3.0: “</w:t>
      </w:r>
      <w:r w:rsidRPr="004B4D84">
        <w:rPr>
          <w:rFonts w:ascii="Georgia" w:hAnsi="Georgia"/>
          <w:i/>
          <w:iCs/>
          <w:sz w:val="24"/>
          <w:szCs w:val="24"/>
        </w:rPr>
        <w:t>gathering such large amounts of data may raise issues of trust and needs to be carefully</w:t>
      </w:r>
      <w:r w:rsidR="00E57D41">
        <w:rPr>
          <w:rFonts w:ascii="Georgia" w:hAnsi="Georgia"/>
          <w:i/>
          <w:iCs/>
          <w:sz w:val="24"/>
          <w:szCs w:val="24"/>
        </w:rPr>
        <w:t xml:space="preserve"> </w:t>
      </w:r>
      <w:r w:rsidRPr="004B4D84">
        <w:rPr>
          <w:rFonts w:ascii="Georgia" w:hAnsi="Georgia"/>
          <w:i/>
          <w:iCs/>
          <w:sz w:val="24"/>
          <w:szCs w:val="24"/>
        </w:rPr>
        <w:t>explained, justified and protected (legally and practically</w:t>
      </w:r>
      <w:r w:rsidRPr="004B4D84">
        <w:rPr>
          <w:rFonts w:ascii="Georgia" w:hAnsi="Georgia"/>
          <w:sz w:val="24"/>
          <w:szCs w:val="24"/>
        </w:rPr>
        <w:t>)</w:t>
      </w:r>
      <w:r>
        <w:rPr>
          <w:rFonts w:ascii="Georgia" w:hAnsi="Georgia"/>
          <w:sz w:val="24"/>
          <w:szCs w:val="24"/>
        </w:rPr>
        <w:t>”</w:t>
      </w:r>
      <w:r w:rsidRPr="004B4D84">
        <w:rPr>
          <w:rFonts w:ascii="Georgia" w:hAnsi="Georgia"/>
          <w:sz w:val="24"/>
          <w:szCs w:val="24"/>
        </w:rPr>
        <w:t>.</w:t>
      </w:r>
      <w:r w:rsidRPr="004B4D84">
        <w:rPr>
          <w:rStyle w:val="Rimandonotaapidipagina"/>
          <w:rFonts w:ascii="Georgia" w:hAnsi="Georgia"/>
          <w:sz w:val="24"/>
          <w:szCs w:val="24"/>
        </w:rPr>
        <w:t xml:space="preserve"> </w:t>
      </w:r>
      <w:r>
        <w:rPr>
          <w:rStyle w:val="Rimandonotaapidipagina"/>
          <w:rFonts w:ascii="Georgia" w:hAnsi="Georgia"/>
          <w:sz w:val="24"/>
          <w:szCs w:val="24"/>
        </w:rPr>
        <w:footnoteReference w:id="6"/>
      </w:r>
    </w:p>
    <w:p w14:paraId="0918FC80" w14:textId="77777777" w:rsidR="00D11FA8" w:rsidRPr="000F2DCE" w:rsidRDefault="00D11FA8" w:rsidP="00D11FA8">
      <w:pPr>
        <w:spacing w:after="0" w:line="360" w:lineRule="auto"/>
        <w:jc w:val="both"/>
        <w:rPr>
          <w:rFonts w:ascii="Georgia" w:hAnsi="Georgia"/>
          <w:sz w:val="24"/>
          <w:szCs w:val="24"/>
        </w:rPr>
      </w:pPr>
    </w:p>
    <w:p w14:paraId="1E9B6C8E" w14:textId="77777777" w:rsidR="00D11FA8" w:rsidRPr="00702F01" w:rsidRDefault="00D11FA8" w:rsidP="00D11FA8">
      <w:pPr>
        <w:outlineLvl w:val="0"/>
        <w:rPr>
          <w:rFonts w:ascii="Georgia" w:hAnsi="Georgia"/>
          <w:b/>
          <w:bCs/>
          <w:sz w:val="24"/>
          <w:szCs w:val="24"/>
        </w:rPr>
      </w:pPr>
      <w:bookmarkStart w:id="4" w:name="_Toc58508964"/>
      <w:bookmarkStart w:id="5" w:name="_Toc62814299"/>
      <w:r>
        <w:rPr>
          <w:rFonts w:ascii="Georgia" w:hAnsi="Georgia"/>
          <w:b/>
          <w:bCs/>
          <w:sz w:val="24"/>
          <w:szCs w:val="24"/>
        </w:rPr>
        <w:t>3</w:t>
      </w:r>
      <w:r w:rsidRPr="00702F01">
        <w:rPr>
          <w:rFonts w:ascii="Georgia" w:hAnsi="Georgia"/>
          <w:b/>
          <w:bCs/>
          <w:sz w:val="24"/>
          <w:szCs w:val="24"/>
        </w:rPr>
        <w:t xml:space="preserve">. </w:t>
      </w:r>
      <w:r>
        <w:rPr>
          <w:rFonts w:ascii="Georgia" w:hAnsi="Georgia"/>
          <w:b/>
          <w:bCs/>
          <w:sz w:val="24"/>
          <w:szCs w:val="24"/>
        </w:rPr>
        <w:t xml:space="preserve">OECD and </w:t>
      </w:r>
      <w:r w:rsidRPr="00F36412">
        <w:rPr>
          <w:rFonts w:ascii="Georgia" w:hAnsi="Georgia"/>
          <w:b/>
          <w:bCs/>
          <w:sz w:val="24"/>
          <w:szCs w:val="24"/>
        </w:rPr>
        <w:t>Taxpayers’</w:t>
      </w:r>
      <w:r>
        <w:rPr>
          <w:rFonts w:ascii="Georgia" w:hAnsi="Georgia"/>
          <w:b/>
          <w:bCs/>
          <w:sz w:val="24"/>
          <w:szCs w:val="24"/>
        </w:rPr>
        <w:t xml:space="preserve"> Rights</w:t>
      </w:r>
      <w:bookmarkEnd w:id="4"/>
      <w:bookmarkEnd w:id="5"/>
    </w:p>
    <w:p w14:paraId="4BA043F3" w14:textId="77777777" w:rsidR="00D11FA8" w:rsidRDefault="00D11FA8" w:rsidP="00D11FA8">
      <w:pPr>
        <w:spacing w:after="0" w:line="360" w:lineRule="auto"/>
        <w:jc w:val="both"/>
        <w:rPr>
          <w:rFonts w:ascii="Georgia" w:hAnsi="Georgia"/>
          <w:sz w:val="24"/>
          <w:szCs w:val="24"/>
        </w:rPr>
      </w:pPr>
      <w:r>
        <w:rPr>
          <w:rFonts w:ascii="Georgia" w:hAnsi="Georgia"/>
          <w:sz w:val="24"/>
          <w:szCs w:val="24"/>
        </w:rPr>
        <w:t xml:space="preserve">The </w:t>
      </w:r>
      <w:r w:rsidRPr="007D0E3A">
        <w:rPr>
          <w:rFonts w:ascii="Georgia" w:hAnsi="Georgia"/>
          <w:sz w:val="24"/>
          <w:szCs w:val="24"/>
        </w:rPr>
        <w:t>Guidelines on the Protection of Privacy and Transborder Flows of Personal Data</w:t>
      </w:r>
      <w:r>
        <w:rPr>
          <w:rFonts w:ascii="Georgia" w:hAnsi="Georgia"/>
          <w:sz w:val="24"/>
          <w:szCs w:val="24"/>
        </w:rPr>
        <w:t xml:space="preserve"> can be relevant to reflect upon OECD’s approach</w:t>
      </w:r>
      <w:r w:rsidRPr="0033761A">
        <w:t xml:space="preserve"> </w:t>
      </w:r>
      <w:r w:rsidRPr="0033761A">
        <w:rPr>
          <w:rFonts w:ascii="Georgia" w:hAnsi="Georgia"/>
          <w:sz w:val="24"/>
          <w:szCs w:val="24"/>
        </w:rPr>
        <w:t>on digital transformation of tax administrations and new taxpayers’ rights</w:t>
      </w:r>
      <w:r>
        <w:rPr>
          <w:rFonts w:ascii="Georgia" w:hAnsi="Georgia"/>
          <w:sz w:val="24"/>
          <w:szCs w:val="24"/>
        </w:rPr>
        <w:t xml:space="preserve">, even if they do not directly involve tax matter and even if they are not mandatory as they </w:t>
      </w:r>
      <w:r w:rsidRPr="001E780E">
        <w:rPr>
          <w:rFonts w:ascii="Georgia" w:hAnsi="Georgia"/>
          <w:sz w:val="24"/>
          <w:szCs w:val="24"/>
        </w:rPr>
        <w:t>leave the decision of whether to adopt them or not to the countries</w:t>
      </w:r>
      <w:r>
        <w:rPr>
          <w:rFonts w:ascii="Georgia" w:hAnsi="Georgia"/>
          <w:sz w:val="24"/>
          <w:szCs w:val="24"/>
        </w:rPr>
        <w:t xml:space="preserve"> </w:t>
      </w:r>
      <w:r w:rsidRPr="001E780E">
        <w:rPr>
          <w:rFonts w:ascii="Georgia" w:hAnsi="Georgia"/>
          <w:sz w:val="24"/>
          <w:szCs w:val="24"/>
        </w:rPr>
        <w:t>involved</w:t>
      </w:r>
      <w:r>
        <w:rPr>
          <w:rFonts w:ascii="Georgia" w:hAnsi="Georgia"/>
          <w:sz w:val="24"/>
          <w:szCs w:val="24"/>
        </w:rPr>
        <w:t>.</w:t>
      </w:r>
      <w:r>
        <w:rPr>
          <w:rStyle w:val="Rimandonotaapidipagina"/>
          <w:rFonts w:ascii="Georgia" w:hAnsi="Georgia"/>
          <w:sz w:val="24"/>
          <w:szCs w:val="24"/>
        </w:rPr>
        <w:footnoteReference w:id="7"/>
      </w:r>
      <w:r w:rsidRPr="00EF7F4F">
        <w:t xml:space="preserve"> </w:t>
      </w:r>
      <w:r>
        <w:rPr>
          <w:rFonts w:ascii="Georgia" w:hAnsi="Georgia"/>
          <w:sz w:val="24"/>
          <w:szCs w:val="24"/>
        </w:rPr>
        <w:t>Indeed, the aims is</w:t>
      </w:r>
      <w:r w:rsidRPr="00EF7F4F">
        <w:rPr>
          <w:rFonts w:ascii="Georgia" w:hAnsi="Georgia"/>
          <w:sz w:val="24"/>
          <w:szCs w:val="24"/>
        </w:rPr>
        <w:t xml:space="preserve"> to assess</w:t>
      </w:r>
      <w:r>
        <w:rPr>
          <w:rFonts w:ascii="Georgia" w:hAnsi="Georgia"/>
          <w:sz w:val="24"/>
          <w:szCs w:val="24"/>
        </w:rPr>
        <w:t xml:space="preserve"> </w:t>
      </w:r>
      <w:r w:rsidRPr="00EF7F4F">
        <w:rPr>
          <w:rFonts w:ascii="Georgia" w:hAnsi="Georgia"/>
          <w:sz w:val="24"/>
          <w:szCs w:val="24"/>
        </w:rPr>
        <w:t>whether useful indications and principles could be transposed to the field of taxation</w:t>
      </w:r>
      <w:r>
        <w:rPr>
          <w:rFonts w:ascii="Georgia" w:hAnsi="Georgia"/>
          <w:sz w:val="24"/>
          <w:szCs w:val="24"/>
        </w:rPr>
        <w:t xml:space="preserve">, particularly in some relevant cases in which </w:t>
      </w:r>
      <w:r w:rsidRPr="00EF7F4F">
        <w:rPr>
          <w:rFonts w:ascii="Georgia" w:hAnsi="Georgia"/>
          <w:sz w:val="24"/>
          <w:szCs w:val="24"/>
        </w:rPr>
        <w:t>the storage of “bulk data” in different countries</w:t>
      </w:r>
      <w:r>
        <w:rPr>
          <w:rFonts w:ascii="Georgia" w:hAnsi="Georgia"/>
          <w:sz w:val="24"/>
          <w:szCs w:val="24"/>
        </w:rPr>
        <w:t xml:space="preserve"> takes place.</w:t>
      </w:r>
    </w:p>
    <w:p w14:paraId="5E5B9C3D" w14:textId="77777777" w:rsidR="00D11FA8" w:rsidRDefault="00D11FA8" w:rsidP="00D11FA8">
      <w:pPr>
        <w:spacing w:after="0" w:line="360" w:lineRule="auto"/>
        <w:jc w:val="both"/>
        <w:rPr>
          <w:rFonts w:ascii="Georgia" w:hAnsi="Georgia"/>
          <w:sz w:val="24"/>
          <w:szCs w:val="24"/>
        </w:rPr>
      </w:pPr>
      <w:r>
        <w:rPr>
          <w:rFonts w:ascii="Georgia" w:hAnsi="Georgia"/>
          <w:sz w:val="24"/>
          <w:szCs w:val="24"/>
        </w:rPr>
        <w:t>OECD encourages a specific strategy for implementing privacy frameworks at national level but also a process of harmonization at an international one.</w:t>
      </w:r>
      <w:r>
        <w:rPr>
          <w:rStyle w:val="Rimandonotaapidipagina"/>
          <w:rFonts w:ascii="Georgia" w:hAnsi="Georgia"/>
          <w:sz w:val="24"/>
          <w:szCs w:val="24"/>
        </w:rPr>
        <w:footnoteReference w:id="8"/>
      </w:r>
      <w:r>
        <w:rPr>
          <w:rFonts w:ascii="Georgia" w:hAnsi="Georgia"/>
          <w:sz w:val="24"/>
          <w:szCs w:val="24"/>
        </w:rPr>
        <w:t xml:space="preserve"> Some points are identified as crucial in both of them. Among the former, national strategies should guarantee limits in data collection, but also individual participation and accountability;</w:t>
      </w:r>
      <w:r>
        <w:rPr>
          <w:rStyle w:val="Rimandonotaapidipagina"/>
          <w:rFonts w:ascii="Georgia" w:hAnsi="Georgia"/>
          <w:sz w:val="24"/>
          <w:szCs w:val="24"/>
        </w:rPr>
        <w:footnoteReference w:id="9"/>
      </w:r>
      <w:r>
        <w:rPr>
          <w:rFonts w:ascii="Georgia" w:hAnsi="Georgia"/>
          <w:sz w:val="24"/>
          <w:szCs w:val="24"/>
        </w:rPr>
        <w:t xml:space="preserve"> among the latter, -within the field of transborder exchange- interoperability, </w:t>
      </w:r>
      <w:r w:rsidRPr="00B16FCD">
        <w:rPr>
          <w:rFonts w:ascii="Georgia" w:hAnsi="Georgia"/>
          <w:sz w:val="24"/>
          <w:szCs w:val="24"/>
        </w:rPr>
        <w:t xml:space="preserve">establishment of </w:t>
      </w:r>
      <w:r w:rsidRPr="00915FF2">
        <w:rPr>
          <w:rFonts w:ascii="Georgia" w:hAnsi="Georgia"/>
          <w:sz w:val="24"/>
          <w:szCs w:val="24"/>
        </w:rPr>
        <w:t xml:space="preserve">privacy </w:t>
      </w:r>
      <w:r w:rsidRPr="00915FF2">
        <w:rPr>
          <w:rFonts w:ascii="Georgia" w:hAnsi="Georgia"/>
          <w:sz w:val="24"/>
          <w:szCs w:val="24"/>
        </w:rPr>
        <w:lastRenderedPageBreak/>
        <w:t>enforcement authorities</w:t>
      </w:r>
      <w:r>
        <w:rPr>
          <w:rFonts w:ascii="Georgia" w:hAnsi="Georgia"/>
          <w:sz w:val="24"/>
          <w:szCs w:val="24"/>
        </w:rPr>
        <w:t xml:space="preserve"> and accountability implementation are listed as key drivers of the international acquis. </w:t>
      </w:r>
    </w:p>
    <w:p w14:paraId="7B85BDA1" w14:textId="77777777" w:rsidR="00D11FA8" w:rsidRDefault="00D11FA8" w:rsidP="00D11FA8">
      <w:pPr>
        <w:spacing w:after="0" w:line="360" w:lineRule="auto"/>
        <w:jc w:val="both"/>
        <w:rPr>
          <w:rFonts w:ascii="Georgia" w:hAnsi="Georgia"/>
          <w:sz w:val="24"/>
          <w:szCs w:val="24"/>
        </w:rPr>
      </w:pPr>
      <w:r w:rsidRPr="00282D1D">
        <w:rPr>
          <w:rFonts w:ascii="Georgia" w:hAnsi="Georgia"/>
          <w:sz w:val="24"/>
          <w:szCs w:val="24"/>
        </w:rPr>
        <w:t>Par</w:t>
      </w:r>
      <w:r>
        <w:rPr>
          <w:rFonts w:ascii="Georgia" w:hAnsi="Georgia"/>
          <w:sz w:val="24"/>
          <w:szCs w:val="24"/>
        </w:rPr>
        <w:t xml:space="preserve">. </w:t>
      </w:r>
      <w:r w:rsidRPr="00282D1D">
        <w:rPr>
          <w:rFonts w:ascii="Georgia" w:hAnsi="Georgia"/>
          <w:sz w:val="24"/>
          <w:szCs w:val="24"/>
        </w:rPr>
        <w:t xml:space="preserve">21 </w:t>
      </w:r>
      <w:r>
        <w:rPr>
          <w:rFonts w:ascii="Georgia" w:hAnsi="Georgia"/>
          <w:sz w:val="24"/>
          <w:szCs w:val="24"/>
        </w:rPr>
        <w:t xml:space="preserve">of the Guidelines </w:t>
      </w:r>
      <w:r w:rsidRPr="00282D1D">
        <w:rPr>
          <w:rFonts w:ascii="Georgia" w:hAnsi="Georgia"/>
          <w:sz w:val="24"/>
          <w:szCs w:val="24"/>
        </w:rPr>
        <w:t>expresses the general objective of Member countries to</w:t>
      </w:r>
      <w:r>
        <w:rPr>
          <w:rFonts w:ascii="Georgia" w:hAnsi="Georgia"/>
          <w:sz w:val="24"/>
          <w:szCs w:val="24"/>
        </w:rPr>
        <w:t xml:space="preserve"> </w:t>
      </w:r>
      <w:r w:rsidRPr="00282D1D">
        <w:rPr>
          <w:rFonts w:ascii="Georgia" w:hAnsi="Georgia"/>
          <w:sz w:val="24"/>
          <w:szCs w:val="24"/>
        </w:rPr>
        <w:t>improve global interoperability of privacy frameworks through international</w:t>
      </w:r>
      <w:r>
        <w:rPr>
          <w:rFonts w:ascii="Georgia" w:hAnsi="Georgia"/>
          <w:sz w:val="24"/>
          <w:szCs w:val="24"/>
        </w:rPr>
        <w:t xml:space="preserve"> </w:t>
      </w:r>
      <w:r w:rsidRPr="00282D1D">
        <w:rPr>
          <w:rFonts w:ascii="Georgia" w:hAnsi="Georgia"/>
          <w:sz w:val="24"/>
          <w:szCs w:val="24"/>
        </w:rPr>
        <w:t>arrangements that ensure effective</w:t>
      </w:r>
      <w:r>
        <w:rPr>
          <w:rFonts w:ascii="Georgia" w:hAnsi="Georgia"/>
          <w:sz w:val="24"/>
          <w:szCs w:val="24"/>
        </w:rPr>
        <w:t xml:space="preserve"> </w:t>
      </w:r>
      <w:r w:rsidRPr="00282D1D">
        <w:rPr>
          <w:rFonts w:ascii="Georgia" w:hAnsi="Georgia"/>
          <w:sz w:val="24"/>
          <w:szCs w:val="24"/>
        </w:rPr>
        <w:t>protection of privacy and support the free flow of personal information</w:t>
      </w:r>
      <w:r>
        <w:rPr>
          <w:rFonts w:ascii="Georgia" w:hAnsi="Georgia"/>
          <w:sz w:val="24"/>
          <w:szCs w:val="24"/>
        </w:rPr>
        <w:t xml:space="preserve"> </w:t>
      </w:r>
      <w:r w:rsidRPr="00282D1D">
        <w:rPr>
          <w:rFonts w:ascii="Georgia" w:hAnsi="Georgia"/>
          <w:sz w:val="24"/>
          <w:szCs w:val="24"/>
        </w:rPr>
        <w:t>around the world</w:t>
      </w:r>
      <w:r>
        <w:rPr>
          <w:rFonts w:ascii="Georgia" w:hAnsi="Georgia"/>
          <w:sz w:val="24"/>
          <w:szCs w:val="24"/>
        </w:rPr>
        <w:t xml:space="preserve">, giving </w:t>
      </w:r>
      <w:r w:rsidRPr="00282D1D">
        <w:rPr>
          <w:rFonts w:ascii="Georgia" w:hAnsi="Georgia"/>
          <w:sz w:val="24"/>
          <w:szCs w:val="24"/>
        </w:rPr>
        <w:t>practical effect to the Guidelines</w:t>
      </w:r>
      <w:r>
        <w:rPr>
          <w:rFonts w:ascii="Georgia" w:hAnsi="Georgia"/>
          <w:sz w:val="24"/>
          <w:szCs w:val="24"/>
        </w:rPr>
        <w:t xml:space="preserve">. Once more, protection frameworks are strictly connected to the main purpose of the free flow of data so we may assume that data protection rights cannot be considered absolute but need to be balanced with other goals, principles and needs. </w:t>
      </w:r>
    </w:p>
    <w:p w14:paraId="54C8B1CA" w14:textId="77777777" w:rsidR="00D11FA8" w:rsidRDefault="00D11FA8" w:rsidP="00D11FA8">
      <w:pPr>
        <w:spacing w:after="0" w:line="360" w:lineRule="auto"/>
        <w:jc w:val="both"/>
        <w:rPr>
          <w:rFonts w:ascii="Georgia" w:hAnsi="Georgia"/>
          <w:sz w:val="24"/>
          <w:szCs w:val="24"/>
        </w:rPr>
      </w:pPr>
      <w:r>
        <w:rPr>
          <w:rFonts w:ascii="Georgia" w:hAnsi="Georgia"/>
          <w:sz w:val="24"/>
          <w:szCs w:val="24"/>
        </w:rPr>
        <w:t xml:space="preserve">Among the </w:t>
      </w:r>
      <w:r w:rsidRPr="00892072">
        <w:rPr>
          <w:rFonts w:ascii="Georgia" w:hAnsi="Georgia"/>
          <w:sz w:val="24"/>
          <w:szCs w:val="24"/>
        </w:rPr>
        <w:t>privacy protection safeguard</w:t>
      </w:r>
      <w:r>
        <w:rPr>
          <w:rFonts w:ascii="Georgia" w:hAnsi="Georgia"/>
          <w:sz w:val="24"/>
          <w:szCs w:val="24"/>
        </w:rPr>
        <w:t>s,</w:t>
      </w:r>
      <w:r w:rsidRPr="00892072">
        <w:rPr>
          <w:rFonts w:ascii="Georgia" w:hAnsi="Georgia"/>
          <w:sz w:val="24"/>
          <w:szCs w:val="24"/>
        </w:rPr>
        <w:t xml:space="preserve"> </w:t>
      </w:r>
      <w:r>
        <w:rPr>
          <w:rFonts w:ascii="Georgia" w:hAnsi="Georgia"/>
          <w:sz w:val="24"/>
          <w:szCs w:val="24"/>
        </w:rPr>
        <w:t>t</w:t>
      </w:r>
      <w:r w:rsidRPr="00892072">
        <w:rPr>
          <w:rFonts w:ascii="Georgia" w:hAnsi="Georgia"/>
          <w:sz w:val="24"/>
          <w:szCs w:val="24"/>
        </w:rPr>
        <w:t xml:space="preserve">he right of individuals to access and challenge personal data is generally regarded as perhaps the most important </w:t>
      </w:r>
      <w:r>
        <w:rPr>
          <w:rFonts w:ascii="Georgia" w:hAnsi="Georgia"/>
          <w:sz w:val="24"/>
          <w:szCs w:val="24"/>
        </w:rPr>
        <w:t xml:space="preserve">one. It is important to underline that data protection rights both within the OECD context and the EU one applies only to individuals and not to legal persons. More in detail, par. 13 of the Guidelines better specifies that this includes </w:t>
      </w:r>
      <w:r w:rsidRPr="00500202">
        <w:rPr>
          <w:rFonts w:ascii="Georgia" w:hAnsi="Georgia"/>
          <w:sz w:val="24"/>
          <w:szCs w:val="24"/>
        </w:rPr>
        <w:t>the right</w:t>
      </w:r>
      <w:r>
        <w:rPr>
          <w:rFonts w:ascii="Georgia" w:hAnsi="Georgia"/>
          <w:sz w:val="24"/>
          <w:szCs w:val="24"/>
        </w:rPr>
        <w:t xml:space="preserve"> </w:t>
      </w:r>
      <w:r w:rsidRPr="00500202">
        <w:rPr>
          <w:rFonts w:ascii="Georgia" w:hAnsi="Georgia"/>
          <w:sz w:val="24"/>
          <w:szCs w:val="24"/>
        </w:rPr>
        <w:t xml:space="preserve">to obtain confirmation of whether or not the data controller has data relating to him; to </w:t>
      </w:r>
      <w:r>
        <w:rPr>
          <w:rFonts w:ascii="Georgia" w:hAnsi="Georgia"/>
          <w:sz w:val="24"/>
          <w:szCs w:val="24"/>
        </w:rPr>
        <w:t>be informed of</w:t>
      </w:r>
      <w:r w:rsidRPr="00500202">
        <w:rPr>
          <w:rFonts w:ascii="Georgia" w:hAnsi="Georgia"/>
          <w:sz w:val="24"/>
          <w:szCs w:val="24"/>
        </w:rPr>
        <w:t xml:space="preserve"> data relating to him within a reasonable time</w:t>
      </w:r>
      <w:r>
        <w:rPr>
          <w:rFonts w:ascii="Georgia" w:hAnsi="Georgia"/>
          <w:sz w:val="24"/>
          <w:szCs w:val="24"/>
        </w:rPr>
        <w:t xml:space="preserve">, </w:t>
      </w:r>
      <w:r w:rsidRPr="00500202">
        <w:rPr>
          <w:rFonts w:ascii="Georgia" w:hAnsi="Georgia"/>
          <w:sz w:val="24"/>
          <w:szCs w:val="24"/>
        </w:rPr>
        <w:t>in a reasonable manner; and</w:t>
      </w:r>
      <w:r>
        <w:rPr>
          <w:rFonts w:ascii="Georgia" w:hAnsi="Georgia"/>
          <w:sz w:val="24"/>
          <w:szCs w:val="24"/>
        </w:rPr>
        <w:t xml:space="preserve"> </w:t>
      </w:r>
      <w:r w:rsidRPr="00500202">
        <w:rPr>
          <w:rFonts w:ascii="Georgia" w:hAnsi="Georgia"/>
          <w:sz w:val="24"/>
          <w:szCs w:val="24"/>
        </w:rPr>
        <w:t>in a form that is readily intelligible to him</w:t>
      </w:r>
      <w:r>
        <w:rPr>
          <w:rFonts w:ascii="Georgia" w:hAnsi="Georgia"/>
          <w:sz w:val="24"/>
          <w:szCs w:val="24"/>
        </w:rPr>
        <w:t xml:space="preserve">. In the case in which these requests are denied the individual has the right </w:t>
      </w:r>
      <w:r w:rsidRPr="00500202">
        <w:rPr>
          <w:rFonts w:ascii="Georgia" w:hAnsi="Georgia"/>
          <w:sz w:val="24"/>
          <w:szCs w:val="24"/>
        </w:rPr>
        <w:t>to be given reasons and to challenge such denial</w:t>
      </w:r>
      <w:r>
        <w:rPr>
          <w:rFonts w:ascii="Georgia" w:hAnsi="Georgia"/>
          <w:sz w:val="24"/>
          <w:szCs w:val="24"/>
        </w:rPr>
        <w:t xml:space="preserve">. </w:t>
      </w:r>
      <w:r w:rsidRPr="00500202">
        <w:rPr>
          <w:rFonts w:ascii="Georgia" w:hAnsi="Georgia"/>
          <w:sz w:val="24"/>
          <w:szCs w:val="24"/>
        </w:rPr>
        <w:t xml:space="preserve"> </w:t>
      </w:r>
      <w:r>
        <w:rPr>
          <w:rFonts w:ascii="Georgia" w:hAnsi="Georgia"/>
          <w:sz w:val="24"/>
          <w:szCs w:val="24"/>
        </w:rPr>
        <w:t xml:space="preserve">Lastly, he has the right </w:t>
      </w:r>
      <w:r w:rsidRPr="00500202">
        <w:rPr>
          <w:rFonts w:ascii="Georgia" w:hAnsi="Georgia"/>
          <w:sz w:val="24"/>
          <w:szCs w:val="24"/>
        </w:rPr>
        <w:t>to challenge data relating to him and, if the challenge is successful to have the data erased, rectified, completed or amended.</w:t>
      </w:r>
    </w:p>
    <w:p w14:paraId="3259663B" w14:textId="77777777" w:rsidR="00D11FA8" w:rsidRDefault="00D11FA8" w:rsidP="00D11FA8">
      <w:pPr>
        <w:spacing w:after="0" w:line="360" w:lineRule="auto"/>
        <w:jc w:val="both"/>
        <w:rPr>
          <w:rFonts w:ascii="Georgia" w:hAnsi="Georgia"/>
          <w:sz w:val="24"/>
          <w:szCs w:val="24"/>
        </w:rPr>
      </w:pPr>
      <w:r>
        <w:rPr>
          <w:rFonts w:ascii="Georgia" w:hAnsi="Georgia"/>
          <w:sz w:val="24"/>
          <w:szCs w:val="24"/>
        </w:rPr>
        <w:t>More specifically related to taxpayer rights are the 1990</w:t>
      </w:r>
      <w:r w:rsidRPr="00361814">
        <w:t xml:space="preserve"> </w:t>
      </w:r>
      <w:r w:rsidRPr="00970677">
        <w:rPr>
          <w:rFonts w:ascii="Georgia" w:hAnsi="Georgia"/>
          <w:sz w:val="24"/>
          <w:szCs w:val="24"/>
        </w:rPr>
        <w:t>Taxpayers’ rights and obligations</w:t>
      </w:r>
      <w:r>
        <w:rPr>
          <w:rStyle w:val="Rimandonotaapidipagina"/>
          <w:rFonts w:ascii="Georgia" w:hAnsi="Georgia"/>
          <w:sz w:val="24"/>
          <w:szCs w:val="24"/>
        </w:rPr>
        <w:footnoteReference w:id="10"/>
      </w:r>
      <w:r>
        <w:rPr>
          <w:rFonts w:ascii="Georgia" w:hAnsi="Georgia"/>
          <w:sz w:val="24"/>
          <w:szCs w:val="24"/>
        </w:rPr>
        <w:t xml:space="preserve"> and the 2003 </w:t>
      </w:r>
      <w:r w:rsidRPr="00970677">
        <w:rPr>
          <w:rFonts w:ascii="Georgia" w:hAnsi="Georgia"/>
          <w:sz w:val="24"/>
          <w:szCs w:val="24"/>
        </w:rPr>
        <w:t xml:space="preserve">practice note on </w:t>
      </w:r>
      <w:bookmarkStart w:id="6" w:name="_Hlk58576272"/>
      <w:r w:rsidRPr="00970677">
        <w:rPr>
          <w:rFonts w:ascii="Georgia" w:hAnsi="Georgia"/>
          <w:sz w:val="24"/>
          <w:szCs w:val="24"/>
        </w:rPr>
        <w:t>“Taxpayers’ Rights and</w:t>
      </w:r>
      <w:r>
        <w:rPr>
          <w:rFonts w:ascii="Georgia" w:hAnsi="Georgia"/>
          <w:sz w:val="24"/>
          <w:szCs w:val="24"/>
        </w:rPr>
        <w:t xml:space="preserve"> </w:t>
      </w:r>
      <w:r w:rsidRPr="00970677">
        <w:rPr>
          <w:rFonts w:ascii="Georgia" w:hAnsi="Georgia"/>
          <w:sz w:val="24"/>
          <w:szCs w:val="24"/>
        </w:rPr>
        <w:t>Obligations” which lists both a right to privacy and a right to confidentiality</w:t>
      </w:r>
      <w:r>
        <w:rPr>
          <w:rFonts w:ascii="Georgia" w:hAnsi="Georgia"/>
          <w:sz w:val="24"/>
          <w:szCs w:val="24"/>
        </w:rPr>
        <w:t xml:space="preserve"> </w:t>
      </w:r>
      <w:r w:rsidRPr="00970677">
        <w:rPr>
          <w:rFonts w:ascii="Georgia" w:hAnsi="Georgia"/>
          <w:sz w:val="24"/>
          <w:szCs w:val="24"/>
        </w:rPr>
        <w:t>and secrecy</w:t>
      </w:r>
      <w:r>
        <w:rPr>
          <w:rFonts w:ascii="Georgia" w:hAnsi="Georgia"/>
          <w:sz w:val="24"/>
          <w:szCs w:val="24"/>
        </w:rPr>
        <w:t xml:space="preserve">. </w:t>
      </w:r>
      <w:r>
        <w:rPr>
          <w:rStyle w:val="Rimandonotaapidipagina"/>
          <w:rFonts w:ascii="Georgia" w:hAnsi="Georgia"/>
          <w:sz w:val="24"/>
          <w:szCs w:val="24"/>
        </w:rPr>
        <w:footnoteReference w:id="11"/>
      </w:r>
      <w:r w:rsidRPr="00970677">
        <w:t xml:space="preserve"> </w:t>
      </w:r>
      <w:r w:rsidRPr="00970677">
        <w:rPr>
          <w:rFonts w:ascii="Georgia" w:hAnsi="Georgia"/>
          <w:sz w:val="24"/>
          <w:szCs w:val="24"/>
        </w:rPr>
        <w:t>Taxpayers’ rights and obligations are further</w:t>
      </w:r>
      <w:r>
        <w:rPr>
          <w:rFonts w:ascii="Georgia" w:hAnsi="Georgia"/>
          <w:sz w:val="24"/>
          <w:szCs w:val="24"/>
        </w:rPr>
        <w:t xml:space="preserve"> developed</w:t>
      </w:r>
      <w:r w:rsidRPr="00970677">
        <w:rPr>
          <w:rFonts w:ascii="Georgia" w:hAnsi="Georgia"/>
          <w:sz w:val="24"/>
          <w:szCs w:val="24"/>
        </w:rPr>
        <w:t xml:space="preserve"> in the OECD report “Tax Administration 2015</w:t>
      </w:r>
      <w:bookmarkEnd w:id="6"/>
      <w:r w:rsidRPr="00970677">
        <w:rPr>
          <w:rFonts w:ascii="Georgia" w:hAnsi="Georgia"/>
          <w:sz w:val="24"/>
          <w:szCs w:val="24"/>
        </w:rPr>
        <w:t>: Comparative</w:t>
      </w:r>
      <w:r>
        <w:rPr>
          <w:rFonts w:ascii="Georgia" w:hAnsi="Georgia"/>
          <w:sz w:val="24"/>
          <w:szCs w:val="24"/>
        </w:rPr>
        <w:t xml:space="preserve"> </w:t>
      </w:r>
      <w:r w:rsidRPr="00970677">
        <w:rPr>
          <w:rFonts w:ascii="Georgia" w:hAnsi="Georgia"/>
          <w:sz w:val="24"/>
          <w:szCs w:val="24"/>
        </w:rPr>
        <w:t>Information on OECD and Other Advanced and Emerging Economies</w:t>
      </w:r>
      <w:r>
        <w:rPr>
          <w:rStyle w:val="Rimandonotaapidipagina"/>
          <w:rFonts w:ascii="Georgia" w:hAnsi="Georgia"/>
          <w:sz w:val="24"/>
          <w:szCs w:val="24"/>
        </w:rPr>
        <w:footnoteReference w:id="12"/>
      </w:r>
      <w:r>
        <w:rPr>
          <w:rFonts w:ascii="Georgia" w:hAnsi="Georgia"/>
          <w:sz w:val="24"/>
          <w:szCs w:val="24"/>
        </w:rPr>
        <w:t xml:space="preserve"> and in the specific sector</w:t>
      </w:r>
      <w:r w:rsidRPr="00970677">
        <w:rPr>
          <w:rFonts w:ascii="Georgia" w:hAnsi="Georgia"/>
          <w:sz w:val="24"/>
          <w:szCs w:val="24"/>
        </w:rPr>
        <w:t xml:space="preserve"> of exchange of information</w:t>
      </w:r>
      <w:r>
        <w:rPr>
          <w:rFonts w:ascii="Georgia" w:hAnsi="Georgia"/>
          <w:sz w:val="24"/>
          <w:szCs w:val="24"/>
        </w:rPr>
        <w:t xml:space="preserve"> </w:t>
      </w:r>
      <w:r w:rsidRPr="00080EEA">
        <w:rPr>
          <w:rFonts w:ascii="Georgia" w:hAnsi="Georgia"/>
          <w:sz w:val="24"/>
          <w:szCs w:val="24"/>
        </w:rPr>
        <w:t>(</w:t>
      </w:r>
      <w:r w:rsidRPr="00080EEA">
        <w:rPr>
          <w:rFonts w:ascii="Georgia" w:hAnsi="Georgia"/>
          <w:i/>
          <w:iCs/>
          <w:sz w:val="24"/>
          <w:szCs w:val="24"/>
        </w:rPr>
        <w:t>infra</w:t>
      </w:r>
      <w:r w:rsidRPr="00080EEA">
        <w:rPr>
          <w:rFonts w:ascii="Georgia" w:hAnsi="Georgia"/>
          <w:sz w:val="24"/>
          <w:szCs w:val="24"/>
        </w:rPr>
        <w:t>, par. 5), in</w:t>
      </w:r>
      <w:r>
        <w:rPr>
          <w:rFonts w:ascii="Georgia" w:hAnsi="Georgia"/>
          <w:sz w:val="24"/>
          <w:szCs w:val="24"/>
        </w:rPr>
        <w:t xml:space="preserve"> a </w:t>
      </w:r>
      <w:r w:rsidRPr="00970677">
        <w:rPr>
          <w:rFonts w:ascii="Georgia" w:hAnsi="Georgia"/>
          <w:sz w:val="24"/>
          <w:szCs w:val="24"/>
        </w:rPr>
        <w:t>report on the protection of confidentiality of information exchanged for tax</w:t>
      </w:r>
      <w:r>
        <w:rPr>
          <w:rFonts w:ascii="Georgia" w:hAnsi="Georgia"/>
          <w:sz w:val="24"/>
          <w:szCs w:val="24"/>
        </w:rPr>
        <w:t xml:space="preserve"> </w:t>
      </w:r>
      <w:r w:rsidRPr="00970677">
        <w:rPr>
          <w:rFonts w:ascii="Georgia" w:hAnsi="Georgia"/>
          <w:sz w:val="24"/>
          <w:szCs w:val="24"/>
        </w:rPr>
        <w:t>purposes.</w:t>
      </w:r>
      <w:r>
        <w:rPr>
          <w:rStyle w:val="Rimandonotaapidipagina"/>
          <w:rFonts w:ascii="Georgia" w:hAnsi="Georgia"/>
          <w:sz w:val="24"/>
          <w:szCs w:val="24"/>
        </w:rPr>
        <w:footnoteReference w:id="13"/>
      </w:r>
    </w:p>
    <w:p w14:paraId="2AB3A2BA" w14:textId="77777777" w:rsidR="00D11FA8" w:rsidRDefault="00D11FA8" w:rsidP="00D11FA8">
      <w:pPr>
        <w:spacing w:after="0" w:line="360" w:lineRule="auto"/>
        <w:jc w:val="both"/>
        <w:rPr>
          <w:rFonts w:ascii="Georgia" w:hAnsi="Georgia"/>
          <w:sz w:val="24"/>
          <w:szCs w:val="24"/>
        </w:rPr>
      </w:pPr>
      <w:r>
        <w:rPr>
          <w:rFonts w:ascii="Georgia" w:hAnsi="Georgia"/>
          <w:sz w:val="24"/>
          <w:szCs w:val="24"/>
        </w:rPr>
        <w:t>To sum up, these reports show that according to t</w:t>
      </w:r>
      <w:r w:rsidRPr="00A21395">
        <w:rPr>
          <w:rFonts w:ascii="Georgia" w:hAnsi="Georgia"/>
          <w:sz w:val="24"/>
          <w:szCs w:val="24"/>
        </w:rPr>
        <w:t>he right to privacy</w:t>
      </w:r>
      <w:r>
        <w:rPr>
          <w:rFonts w:ascii="Georgia" w:hAnsi="Georgia"/>
          <w:sz w:val="24"/>
          <w:szCs w:val="24"/>
        </w:rPr>
        <w:t xml:space="preserve">, </w:t>
      </w:r>
      <w:r w:rsidRPr="00A21395">
        <w:rPr>
          <w:rFonts w:ascii="Georgia" w:hAnsi="Georgia"/>
          <w:sz w:val="24"/>
          <w:szCs w:val="24"/>
        </w:rPr>
        <w:t>taxpayers have the right to expect that tax authorities will not intrude unnecessarily upon their</w:t>
      </w:r>
      <w:r>
        <w:rPr>
          <w:rFonts w:ascii="Georgia" w:hAnsi="Georgia"/>
          <w:sz w:val="24"/>
          <w:szCs w:val="24"/>
        </w:rPr>
        <w:t xml:space="preserve"> </w:t>
      </w:r>
      <w:r w:rsidRPr="00A21395">
        <w:rPr>
          <w:rFonts w:ascii="Georgia" w:hAnsi="Georgia"/>
          <w:sz w:val="24"/>
          <w:szCs w:val="24"/>
        </w:rPr>
        <w:t>privacy</w:t>
      </w:r>
      <w:r>
        <w:rPr>
          <w:rFonts w:ascii="Georgia" w:hAnsi="Georgia"/>
          <w:sz w:val="24"/>
          <w:szCs w:val="24"/>
        </w:rPr>
        <w:t xml:space="preserve"> and that they will avoid</w:t>
      </w:r>
      <w:r w:rsidRPr="00A21395">
        <w:rPr>
          <w:rFonts w:ascii="Georgia" w:hAnsi="Georgia"/>
          <w:sz w:val="24"/>
          <w:szCs w:val="24"/>
        </w:rPr>
        <w:t xml:space="preserve"> unreasonable searches and requests for</w:t>
      </w:r>
      <w:r>
        <w:rPr>
          <w:rFonts w:ascii="Georgia" w:hAnsi="Georgia"/>
          <w:sz w:val="24"/>
          <w:szCs w:val="24"/>
        </w:rPr>
        <w:t xml:space="preserve"> </w:t>
      </w:r>
      <w:r w:rsidRPr="00A21395">
        <w:rPr>
          <w:rFonts w:ascii="Georgia" w:hAnsi="Georgia"/>
          <w:sz w:val="24"/>
          <w:szCs w:val="24"/>
        </w:rPr>
        <w:t xml:space="preserve">information which is not relevant for </w:t>
      </w:r>
      <w:r w:rsidRPr="00A21395">
        <w:rPr>
          <w:rFonts w:ascii="Georgia" w:hAnsi="Georgia"/>
          <w:sz w:val="24"/>
          <w:szCs w:val="24"/>
        </w:rPr>
        <w:lastRenderedPageBreak/>
        <w:t>determining the correct amount of tax due</w:t>
      </w:r>
      <w:r>
        <w:rPr>
          <w:rFonts w:ascii="Georgia" w:hAnsi="Georgia"/>
          <w:sz w:val="24"/>
          <w:szCs w:val="24"/>
        </w:rPr>
        <w:t>. Indeed, t</w:t>
      </w:r>
      <w:r w:rsidRPr="00A21395">
        <w:rPr>
          <w:rFonts w:ascii="Georgia" w:hAnsi="Georgia"/>
          <w:sz w:val="24"/>
          <w:szCs w:val="24"/>
        </w:rPr>
        <w:t>he right to confidentiality and secrecy</w:t>
      </w:r>
      <w:r>
        <w:rPr>
          <w:rFonts w:ascii="Georgia" w:hAnsi="Georgia"/>
          <w:sz w:val="24"/>
          <w:szCs w:val="24"/>
        </w:rPr>
        <w:t xml:space="preserve"> implies that </w:t>
      </w:r>
      <w:r w:rsidRPr="00A21395">
        <w:rPr>
          <w:rFonts w:ascii="Georgia" w:hAnsi="Georgia"/>
          <w:sz w:val="24"/>
          <w:szCs w:val="24"/>
        </w:rPr>
        <w:t xml:space="preserve">the information available to tax authorities </w:t>
      </w:r>
      <w:r>
        <w:rPr>
          <w:rFonts w:ascii="Georgia" w:hAnsi="Georgia"/>
          <w:sz w:val="24"/>
          <w:szCs w:val="24"/>
        </w:rPr>
        <w:t>regarding</w:t>
      </w:r>
      <w:r w:rsidRPr="00A21395">
        <w:rPr>
          <w:rFonts w:ascii="Georgia" w:hAnsi="Georgia"/>
          <w:sz w:val="24"/>
          <w:szCs w:val="24"/>
        </w:rPr>
        <w:t xml:space="preserve"> the affairs of a</w:t>
      </w:r>
      <w:r>
        <w:rPr>
          <w:rFonts w:ascii="Georgia" w:hAnsi="Georgia"/>
          <w:sz w:val="24"/>
          <w:szCs w:val="24"/>
        </w:rPr>
        <w:t xml:space="preserve"> </w:t>
      </w:r>
      <w:r w:rsidRPr="00A21395">
        <w:rPr>
          <w:rFonts w:ascii="Georgia" w:hAnsi="Georgia"/>
          <w:sz w:val="24"/>
          <w:szCs w:val="24"/>
        </w:rPr>
        <w:t>taxpayer is confidential and will only be used for the purposes specified in tax legislation</w:t>
      </w:r>
      <w:r>
        <w:rPr>
          <w:rFonts w:ascii="Georgia" w:hAnsi="Georgia"/>
          <w:sz w:val="24"/>
          <w:szCs w:val="24"/>
        </w:rPr>
        <w:t>.</w:t>
      </w:r>
    </w:p>
    <w:p w14:paraId="1F3D4AB7" w14:textId="3F0067A8" w:rsidR="00D11FA8" w:rsidRDefault="00D11FA8" w:rsidP="00D11FA8">
      <w:pPr>
        <w:spacing w:after="0" w:line="360" w:lineRule="auto"/>
        <w:jc w:val="both"/>
        <w:rPr>
          <w:rFonts w:ascii="Georgia" w:hAnsi="Georgia"/>
          <w:sz w:val="24"/>
          <w:szCs w:val="24"/>
        </w:rPr>
      </w:pPr>
      <w:bookmarkStart w:id="7" w:name="_Hlk58576339"/>
      <w:r>
        <w:rPr>
          <w:rFonts w:ascii="Georgia" w:hAnsi="Georgia"/>
          <w:sz w:val="24"/>
          <w:szCs w:val="24"/>
        </w:rPr>
        <w:t xml:space="preserve">The 2020 Reports on </w:t>
      </w:r>
      <w:r w:rsidRPr="00881D1E">
        <w:rPr>
          <w:rFonts w:ascii="Georgia" w:hAnsi="Georgia"/>
          <w:sz w:val="24"/>
          <w:szCs w:val="24"/>
        </w:rPr>
        <w:t>Tax Administration 3.0</w:t>
      </w:r>
      <w:r>
        <w:rPr>
          <w:rFonts w:ascii="Georgia" w:hAnsi="Georgia"/>
          <w:sz w:val="24"/>
          <w:szCs w:val="24"/>
        </w:rPr>
        <w:t xml:space="preserve"> has strengthened the need to support the digitalization process with l</w:t>
      </w:r>
      <w:r w:rsidRPr="00881D1E">
        <w:rPr>
          <w:rFonts w:ascii="Georgia" w:hAnsi="Georgia"/>
          <w:sz w:val="24"/>
          <w:szCs w:val="24"/>
        </w:rPr>
        <w:t>egal frameworks governing data privacy, accountability, taxpayer rights and formal dispute resolution</w:t>
      </w:r>
      <w:r>
        <w:rPr>
          <w:rFonts w:ascii="Georgia" w:hAnsi="Georgia"/>
          <w:sz w:val="24"/>
          <w:szCs w:val="24"/>
        </w:rPr>
        <w:t xml:space="preserve"> </w:t>
      </w:r>
      <w:r w:rsidRPr="00881D1E">
        <w:rPr>
          <w:rFonts w:ascii="Georgia" w:hAnsi="Georgia"/>
          <w:sz w:val="24"/>
          <w:szCs w:val="24"/>
        </w:rPr>
        <w:t>and appeals</w:t>
      </w:r>
      <w:bookmarkEnd w:id="7"/>
      <w:r w:rsidRPr="00881D1E">
        <w:rPr>
          <w:rFonts w:ascii="Georgia" w:hAnsi="Georgia"/>
          <w:sz w:val="24"/>
          <w:szCs w:val="24"/>
        </w:rPr>
        <w:t>.</w:t>
      </w:r>
      <w:r>
        <w:rPr>
          <w:rStyle w:val="Rimandonotaapidipagina"/>
          <w:rFonts w:ascii="Georgia" w:hAnsi="Georgia"/>
          <w:sz w:val="24"/>
          <w:szCs w:val="24"/>
        </w:rPr>
        <w:footnoteReference w:id="14"/>
      </w:r>
      <w:r w:rsidRPr="00A813BF">
        <w:rPr>
          <w:rFonts w:ascii="Georgia" w:hAnsi="Georgia"/>
          <w:sz w:val="24"/>
          <w:szCs w:val="24"/>
        </w:rPr>
        <w:t xml:space="preserve"> </w:t>
      </w:r>
      <w:r>
        <w:rPr>
          <w:rFonts w:ascii="Georgia" w:hAnsi="Georgia"/>
          <w:sz w:val="24"/>
          <w:szCs w:val="24"/>
        </w:rPr>
        <w:t>Indeed, t</w:t>
      </w:r>
      <w:r w:rsidRPr="00A813BF">
        <w:rPr>
          <w:rFonts w:ascii="Georgia" w:hAnsi="Georgia"/>
          <w:sz w:val="24"/>
          <w:szCs w:val="24"/>
        </w:rPr>
        <w:t xml:space="preserve">he potential amalgamation of a large amount </w:t>
      </w:r>
      <w:r>
        <w:rPr>
          <w:rFonts w:ascii="Georgia" w:hAnsi="Georgia"/>
          <w:sz w:val="24"/>
          <w:szCs w:val="24"/>
        </w:rPr>
        <w:t xml:space="preserve">of </w:t>
      </w:r>
      <w:r w:rsidRPr="00A813BF">
        <w:rPr>
          <w:rFonts w:ascii="Georgia" w:hAnsi="Georgia"/>
          <w:sz w:val="24"/>
          <w:szCs w:val="24"/>
        </w:rPr>
        <w:t>data underlying</w:t>
      </w:r>
      <w:r>
        <w:rPr>
          <w:rFonts w:ascii="Georgia" w:hAnsi="Georgia"/>
          <w:sz w:val="24"/>
          <w:szCs w:val="24"/>
        </w:rPr>
        <w:t xml:space="preserve"> </w:t>
      </w:r>
      <w:r w:rsidRPr="00A813BF">
        <w:rPr>
          <w:rFonts w:ascii="Georgia" w:hAnsi="Georgia"/>
          <w:sz w:val="24"/>
          <w:szCs w:val="24"/>
        </w:rPr>
        <w:t xml:space="preserve">tax computation can raise </w:t>
      </w:r>
      <w:bookmarkStart w:id="8" w:name="_Hlk58576411"/>
      <w:r w:rsidRPr="00A813BF">
        <w:rPr>
          <w:rFonts w:ascii="Georgia" w:hAnsi="Georgia"/>
          <w:sz w:val="24"/>
          <w:szCs w:val="24"/>
        </w:rPr>
        <w:t>“big brother” concerns</w:t>
      </w:r>
      <w:bookmarkEnd w:id="8"/>
      <w:r>
        <w:rPr>
          <w:rFonts w:ascii="Georgia" w:hAnsi="Georgia"/>
          <w:sz w:val="24"/>
          <w:szCs w:val="24"/>
        </w:rPr>
        <w:t xml:space="preserve">: privacy, data security and </w:t>
      </w:r>
      <w:r w:rsidRPr="00A813BF">
        <w:rPr>
          <w:rFonts w:ascii="Georgia" w:hAnsi="Georgia"/>
          <w:sz w:val="24"/>
          <w:szCs w:val="24"/>
        </w:rPr>
        <w:t>transparency</w:t>
      </w:r>
      <w:r>
        <w:rPr>
          <w:rFonts w:ascii="Georgia" w:hAnsi="Georgia"/>
          <w:sz w:val="24"/>
          <w:szCs w:val="24"/>
        </w:rPr>
        <w:t xml:space="preserve"> have to be taken into account. In the </w:t>
      </w:r>
      <w:r w:rsidRPr="00881D1E">
        <w:rPr>
          <w:rFonts w:ascii="Georgia" w:hAnsi="Georgia"/>
          <w:sz w:val="24"/>
          <w:szCs w:val="24"/>
        </w:rPr>
        <w:t>Tax Administration 3.0</w:t>
      </w:r>
      <w:r>
        <w:rPr>
          <w:rFonts w:ascii="Georgia" w:hAnsi="Georgia"/>
          <w:sz w:val="24"/>
          <w:szCs w:val="24"/>
        </w:rPr>
        <w:t xml:space="preserve"> scenario, since t</w:t>
      </w:r>
      <w:r w:rsidRPr="00A813BF">
        <w:rPr>
          <w:rFonts w:ascii="Georgia" w:hAnsi="Georgia"/>
          <w:sz w:val="24"/>
          <w:szCs w:val="24"/>
        </w:rPr>
        <w:t>axpayers will have the opportunity to check and question taxes assessed, paid and due in real-time</w:t>
      </w:r>
      <w:r>
        <w:rPr>
          <w:rFonts w:ascii="Georgia" w:hAnsi="Georgia"/>
          <w:sz w:val="24"/>
          <w:szCs w:val="24"/>
        </w:rPr>
        <w:t xml:space="preserve">, they are also allowed </w:t>
      </w:r>
      <w:bookmarkStart w:id="9" w:name="_Hlk58576460"/>
      <w:r w:rsidRPr="00A813BF">
        <w:rPr>
          <w:rFonts w:ascii="Georgia" w:hAnsi="Georgia"/>
          <w:sz w:val="24"/>
          <w:szCs w:val="24"/>
        </w:rPr>
        <w:t>to challenge both automated and human decision-making</w:t>
      </w:r>
      <w:bookmarkEnd w:id="9"/>
      <w:r>
        <w:rPr>
          <w:rFonts w:ascii="Georgia" w:hAnsi="Georgia"/>
          <w:sz w:val="24"/>
          <w:szCs w:val="24"/>
        </w:rPr>
        <w:t xml:space="preserve">. </w:t>
      </w:r>
    </w:p>
    <w:p w14:paraId="0D957698" w14:textId="77777777" w:rsidR="00D11FA8" w:rsidRDefault="00D11FA8" w:rsidP="00D11FA8">
      <w:pPr>
        <w:spacing w:after="0" w:line="360" w:lineRule="auto"/>
        <w:jc w:val="both"/>
        <w:rPr>
          <w:rFonts w:ascii="Georgia" w:hAnsi="Georgia"/>
          <w:sz w:val="24"/>
          <w:szCs w:val="24"/>
        </w:rPr>
      </w:pPr>
    </w:p>
    <w:p w14:paraId="0D681943" w14:textId="77777777" w:rsidR="00D11FA8" w:rsidRPr="00335356" w:rsidRDefault="00D11FA8" w:rsidP="00D11FA8">
      <w:pPr>
        <w:spacing w:after="0" w:line="360" w:lineRule="auto"/>
        <w:jc w:val="both"/>
        <w:outlineLvl w:val="0"/>
        <w:rPr>
          <w:rFonts w:ascii="Georgia" w:hAnsi="Georgia"/>
          <w:sz w:val="24"/>
          <w:szCs w:val="24"/>
        </w:rPr>
      </w:pPr>
      <w:bookmarkStart w:id="10" w:name="_Toc58508965"/>
      <w:bookmarkStart w:id="11" w:name="_Toc62814300"/>
      <w:r>
        <w:rPr>
          <w:rFonts w:ascii="Georgia" w:hAnsi="Georgia"/>
          <w:b/>
          <w:bCs/>
          <w:sz w:val="24"/>
          <w:szCs w:val="24"/>
        </w:rPr>
        <w:t xml:space="preserve">4. </w:t>
      </w:r>
      <w:r w:rsidRPr="00702F01">
        <w:rPr>
          <w:rFonts w:ascii="Georgia" w:hAnsi="Georgia"/>
          <w:b/>
          <w:bCs/>
          <w:sz w:val="24"/>
          <w:szCs w:val="24"/>
        </w:rPr>
        <w:t>Putting theory into practice</w:t>
      </w:r>
      <w:bookmarkEnd w:id="10"/>
      <w:bookmarkEnd w:id="11"/>
    </w:p>
    <w:p w14:paraId="6D9DDD74" w14:textId="77777777" w:rsidR="00D11FA8" w:rsidRPr="00960E0A" w:rsidRDefault="00D11FA8" w:rsidP="00D11FA8">
      <w:pPr>
        <w:spacing w:after="0" w:line="360" w:lineRule="auto"/>
        <w:rPr>
          <w:rFonts w:ascii="Georgia" w:hAnsi="Georgia"/>
          <w:sz w:val="24"/>
          <w:szCs w:val="24"/>
        </w:rPr>
      </w:pPr>
      <w:r w:rsidRPr="00960E0A">
        <w:rPr>
          <w:rFonts w:ascii="Georgia" w:hAnsi="Georgia"/>
          <w:sz w:val="24"/>
          <w:szCs w:val="24"/>
        </w:rPr>
        <w:t xml:space="preserve">From </w:t>
      </w:r>
      <w:r>
        <w:rPr>
          <w:rFonts w:ascii="Georgia" w:hAnsi="Georgia"/>
          <w:sz w:val="24"/>
          <w:szCs w:val="24"/>
        </w:rPr>
        <w:t xml:space="preserve">this </w:t>
      </w:r>
      <w:r w:rsidRPr="00960E0A">
        <w:rPr>
          <w:rFonts w:ascii="Georgia" w:hAnsi="Georgia"/>
          <w:sz w:val="24"/>
          <w:szCs w:val="24"/>
        </w:rPr>
        <w:t xml:space="preserve">overview </w:t>
      </w:r>
      <w:r>
        <w:rPr>
          <w:rFonts w:ascii="Georgia" w:hAnsi="Georgia"/>
          <w:sz w:val="24"/>
          <w:szCs w:val="24"/>
        </w:rPr>
        <w:t>on</w:t>
      </w:r>
      <w:r w:rsidRPr="00960E0A">
        <w:rPr>
          <w:rFonts w:ascii="Georgia" w:hAnsi="Georgia"/>
          <w:sz w:val="24"/>
          <w:szCs w:val="24"/>
        </w:rPr>
        <w:t xml:space="preserve"> the OECD approach, it is possible to draw up some firm points:</w:t>
      </w:r>
    </w:p>
    <w:p w14:paraId="5C459B3B" w14:textId="77777777" w:rsidR="00D11FA8" w:rsidRPr="00960E0A" w:rsidRDefault="00D11FA8" w:rsidP="00D11FA8">
      <w:pPr>
        <w:spacing w:after="0" w:line="360" w:lineRule="auto"/>
        <w:rPr>
          <w:rFonts w:ascii="Georgia" w:hAnsi="Georgia"/>
          <w:sz w:val="24"/>
          <w:szCs w:val="24"/>
        </w:rPr>
      </w:pPr>
      <w:r w:rsidRPr="00960E0A">
        <w:rPr>
          <w:rFonts w:ascii="Georgia" w:hAnsi="Georgia"/>
          <w:sz w:val="24"/>
          <w:szCs w:val="24"/>
        </w:rPr>
        <w:t>- the primacy of the free flow of data over the protection of rights;</w:t>
      </w:r>
    </w:p>
    <w:p w14:paraId="75611C71" w14:textId="77777777" w:rsidR="00D11FA8" w:rsidRPr="00960E0A" w:rsidRDefault="00D11FA8" w:rsidP="00D11FA8">
      <w:pPr>
        <w:spacing w:after="0" w:line="360" w:lineRule="auto"/>
        <w:rPr>
          <w:rFonts w:ascii="Georgia" w:hAnsi="Georgia"/>
          <w:sz w:val="24"/>
          <w:szCs w:val="24"/>
        </w:rPr>
      </w:pPr>
      <w:r w:rsidRPr="00960E0A">
        <w:rPr>
          <w:rFonts w:ascii="Georgia" w:hAnsi="Georgia"/>
          <w:sz w:val="24"/>
          <w:szCs w:val="24"/>
        </w:rPr>
        <w:t xml:space="preserve">- the </w:t>
      </w:r>
      <w:r>
        <w:rPr>
          <w:rFonts w:ascii="Georgia" w:hAnsi="Georgia"/>
          <w:sz w:val="24"/>
          <w:szCs w:val="24"/>
        </w:rPr>
        <w:t>“</w:t>
      </w:r>
      <w:r w:rsidRPr="00960E0A">
        <w:rPr>
          <w:rFonts w:ascii="Georgia" w:hAnsi="Georgia"/>
          <w:sz w:val="24"/>
          <w:szCs w:val="24"/>
        </w:rPr>
        <w:t>solution</w:t>
      </w:r>
      <w:r>
        <w:rPr>
          <w:rFonts w:ascii="Georgia" w:hAnsi="Georgia"/>
          <w:sz w:val="24"/>
          <w:szCs w:val="24"/>
        </w:rPr>
        <w:t>”</w:t>
      </w:r>
      <w:r w:rsidRPr="00960E0A">
        <w:rPr>
          <w:rFonts w:ascii="Georgia" w:hAnsi="Georgia"/>
          <w:sz w:val="24"/>
          <w:szCs w:val="24"/>
        </w:rPr>
        <w:t xml:space="preserve"> of possible conflicts between the two principles on the basis of the principle of proportionality;</w:t>
      </w:r>
    </w:p>
    <w:p w14:paraId="298D1E7A" w14:textId="77777777" w:rsidR="00D11FA8" w:rsidRDefault="00D11FA8" w:rsidP="00D11FA8">
      <w:pPr>
        <w:spacing w:after="0" w:line="360" w:lineRule="auto"/>
        <w:rPr>
          <w:rFonts w:ascii="Georgia" w:hAnsi="Georgia"/>
          <w:sz w:val="24"/>
          <w:szCs w:val="24"/>
        </w:rPr>
      </w:pPr>
      <w:r w:rsidRPr="00960E0A">
        <w:rPr>
          <w:rFonts w:ascii="Georgia" w:hAnsi="Georgia"/>
          <w:sz w:val="24"/>
          <w:szCs w:val="24"/>
        </w:rPr>
        <w:t xml:space="preserve">- the reading of the principle of proportionality in such a way as to safeguard as much as possible the free </w:t>
      </w:r>
      <w:r>
        <w:rPr>
          <w:rFonts w:ascii="Georgia" w:hAnsi="Georgia"/>
          <w:sz w:val="24"/>
          <w:szCs w:val="24"/>
        </w:rPr>
        <w:t>flow</w:t>
      </w:r>
      <w:r w:rsidRPr="00960E0A">
        <w:rPr>
          <w:rFonts w:ascii="Georgia" w:hAnsi="Georgia"/>
          <w:sz w:val="24"/>
          <w:szCs w:val="24"/>
        </w:rPr>
        <w:t xml:space="preserve"> of data, interpreting, consequently, any limitations in a restrictive sense, not exceeding what is strictly necessary to ensure the flow of data;</w:t>
      </w:r>
    </w:p>
    <w:p w14:paraId="25D6F8E0" w14:textId="77777777" w:rsidR="00D11FA8" w:rsidRDefault="00D11FA8" w:rsidP="00D11FA8">
      <w:pPr>
        <w:spacing w:after="0" w:line="360" w:lineRule="auto"/>
        <w:rPr>
          <w:rFonts w:ascii="Georgia" w:hAnsi="Georgia"/>
          <w:sz w:val="24"/>
          <w:szCs w:val="24"/>
        </w:rPr>
      </w:pPr>
      <w:r>
        <w:rPr>
          <w:rFonts w:ascii="Georgia" w:hAnsi="Georgia"/>
          <w:sz w:val="24"/>
          <w:szCs w:val="24"/>
        </w:rPr>
        <w:t xml:space="preserve">- the </w:t>
      </w:r>
      <w:r w:rsidRPr="00960E0A">
        <w:rPr>
          <w:rFonts w:ascii="Georgia" w:hAnsi="Georgia"/>
          <w:sz w:val="24"/>
          <w:szCs w:val="24"/>
        </w:rPr>
        <w:t xml:space="preserve">paramount significance </w:t>
      </w:r>
      <w:r>
        <w:rPr>
          <w:rFonts w:ascii="Georgia" w:hAnsi="Georgia"/>
          <w:sz w:val="24"/>
          <w:szCs w:val="24"/>
        </w:rPr>
        <w:t xml:space="preserve">of a </w:t>
      </w:r>
      <w:r w:rsidRPr="00960E0A">
        <w:rPr>
          <w:rFonts w:ascii="Georgia" w:hAnsi="Georgia"/>
          <w:sz w:val="24"/>
          <w:szCs w:val="24"/>
        </w:rPr>
        <w:t xml:space="preserve">right </w:t>
      </w:r>
      <w:r w:rsidRPr="00DE1AC3">
        <w:rPr>
          <w:rFonts w:ascii="Georgia" w:hAnsi="Georgia"/>
          <w:sz w:val="24"/>
          <w:szCs w:val="24"/>
        </w:rPr>
        <w:t>to privacy</w:t>
      </w:r>
      <w:r>
        <w:rPr>
          <w:rFonts w:ascii="Georgia" w:hAnsi="Georgia"/>
          <w:sz w:val="24"/>
          <w:szCs w:val="24"/>
        </w:rPr>
        <w:t xml:space="preserve">, </w:t>
      </w:r>
      <w:r w:rsidRPr="00DE1AC3">
        <w:rPr>
          <w:rFonts w:ascii="Georgia" w:hAnsi="Georgia"/>
          <w:sz w:val="24"/>
          <w:szCs w:val="24"/>
        </w:rPr>
        <w:t>to confidentiality and secrecy</w:t>
      </w:r>
      <w:r>
        <w:rPr>
          <w:rFonts w:ascii="Georgia" w:hAnsi="Georgia"/>
          <w:sz w:val="24"/>
          <w:szCs w:val="24"/>
        </w:rPr>
        <w:t xml:space="preserve"> and the need to assure the right </w:t>
      </w:r>
      <w:r w:rsidRPr="00960E0A">
        <w:rPr>
          <w:rFonts w:ascii="Georgia" w:hAnsi="Georgia"/>
          <w:sz w:val="24"/>
          <w:szCs w:val="24"/>
        </w:rPr>
        <w:t>of individuals to access and challenge personal data</w:t>
      </w:r>
      <w:r>
        <w:rPr>
          <w:rFonts w:ascii="Georgia" w:hAnsi="Georgia"/>
          <w:sz w:val="24"/>
          <w:szCs w:val="24"/>
        </w:rPr>
        <w:t xml:space="preserve">. </w:t>
      </w:r>
    </w:p>
    <w:p w14:paraId="431678F3" w14:textId="77777777" w:rsidR="00D11FA8" w:rsidRDefault="00D11FA8" w:rsidP="00D11FA8">
      <w:pPr>
        <w:spacing w:after="0" w:line="360" w:lineRule="auto"/>
        <w:jc w:val="both"/>
        <w:rPr>
          <w:rFonts w:ascii="Georgia" w:hAnsi="Georgia"/>
          <w:sz w:val="24"/>
          <w:szCs w:val="24"/>
        </w:rPr>
      </w:pPr>
      <w:r>
        <w:rPr>
          <w:rFonts w:ascii="Georgia" w:hAnsi="Georgia"/>
          <w:sz w:val="24"/>
          <w:szCs w:val="24"/>
        </w:rPr>
        <w:t xml:space="preserve">- such principles and rights </w:t>
      </w:r>
      <w:r w:rsidRPr="00DE1AC3">
        <w:rPr>
          <w:rFonts w:ascii="Georgia" w:hAnsi="Georgia"/>
          <w:sz w:val="24"/>
          <w:szCs w:val="24"/>
        </w:rPr>
        <w:t>are not mandatory</w:t>
      </w:r>
      <w:r>
        <w:rPr>
          <w:rFonts w:ascii="Georgia" w:hAnsi="Georgia"/>
          <w:sz w:val="24"/>
          <w:szCs w:val="24"/>
        </w:rPr>
        <w:t xml:space="preserve"> within the OECD context and, at any rate, they apply (as in EU data protection rules) only to individuals (not legal persons). </w:t>
      </w:r>
    </w:p>
    <w:p w14:paraId="502AD85F" w14:textId="77777777" w:rsidR="00D11FA8" w:rsidRDefault="00D11FA8" w:rsidP="00D11FA8">
      <w:pPr>
        <w:spacing w:after="0" w:line="360" w:lineRule="auto"/>
        <w:jc w:val="both"/>
        <w:rPr>
          <w:rFonts w:ascii="Georgia" w:hAnsi="Georgia"/>
          <w:sz w:val="24"/>
          <w:szCs w:val="24"/>
        </w:rPr>
      </w:pPr>
      <w:bookmarkStart w:id="12" w:name="_Hlk58576545"/>
      <w:r>
        <w:rPr>
          <w:rFonts w:ascii="Georgia" w:hAnsi="Georgia"/>
          <w:sz w:val="24"/>
          <w:szCs w:val="24"/>
        </w:rPr>
        <w:t>Against this backdrop, s</w:t>
      </w:r>
      <w:r w:rsidRPr="004A02D5">
        <w:rPr>
          <w:rFonts w:ascii="Georgia" w:hAnsi="Georgia"/>
          <w:sz w:val="24"/>
          <w:szCs w:val="24"/>
        </w:rPr>
        <w:t xml:space="preserve">ome illustrative cases will be analyzed </w:t>
      </w:r>
      <w:r>
        <w:rPr>
          <w:rFonts w:ascii="Georgia" w:hAnsi="Georgia"/>
          <w:sz w:val="24"/>
          <w:szCs w:val="24"/>
        </w:rPr>
        <w:t xml:space="preserve">in order to test if possible </w:t>
      </w:r>
      <w:r w:rsidRPr="004A02D5">
        <w:rPr>
          <w:rFonts w:ascii="Georgia" w:hAnsi="Georgia"/>
          <w:sz w:val="24"/>
          <w:szCs w:val="24"/>
        </w:rPr>
        <w:t>profiles of taxpayers' rights violation</w:t>
      </w:r>
      <w:r>
        <w:rPr>
          <w:rFonts w:ascii="Georgia" w:hAnsi="Georgia"/>
          <w:sz w:val="24"/>
          <w:szCs w:val="24"/>
        </w:rPr>
        <w:t>s</w:t>
      </w:r>
      <w:r w:rsidRPr="004A02D5">
        <w:rPr>
          <w:rFonts w:ascii="Georgia" w:hAnsi="Georgia"/>
          <w:sz w:val="24"/>
          <w:szCs w:val="24"/>
        </w:rPr>
        <w:t xml:space="preserve"> may emerge </w:t>
      </w:r>
      <w:r>
        <w:rPr>
          <w:rFonts w:ascii="Georgia" w:hAnsi="Georgia"/>
          <w:sz w:val="24"/>
          <w:szCs w:val="24"/>
        </w:rPr>
        <w:t>from</w:t>
      </w:r>
      <w:r w:rsidRPr="004A02D5">
        <w:rPr>
          <w:rFonts w:ascii="Georgia" w:hAnsi="Georgia"/>
          <w:sz w:val="24"/>
          <w:szCs w:val="24"/>
        </w:rPr>
        <w:t xml:space="preserve"> the digitization of tax</w:t>
      </w:r>
      <w:r>
        <w:rPr>
          <w:rFonts w:ascii="Georgia" w:hAnsi="Georgia"/>
          <w:sz w:val="24"/>
          <w:szCs w:val="24"/>
        </w:rPr>
        <w:t xml:space="preserve"> </w:t>
      </w:r>
      <w:r w:rsidRPr="004A02D5">
        <w:rPr>
          <w:rFonts w:ascii="Georgia" w:hAnsi="Georgia"/>
          <w:sz w:val="24"/>
          <w:szCs w:val="24"/>
        </w:rPr>
        <w:t>authorities</w:t>
      </w:r>
      <w:r>
        <w:rPr>
          <w:rFonts w:ascii="Georgia" w:hAnsi="Georgia"/>
          <w:sz w:val="24"/>
          <w:szCs w:val="24"/>
        </w:rPr>
        <w:t xml:space="preserve"> proceedings</w:t>
      </w:r>
      <w:r w:rsidRPr="004A02D5">
        <w:rPr>
          <w:rFonts w:ascii="Georgia" w:hAnsi="Georgia"/>
          <w:sz w:val="24"/>
          <w:szCs w:val="24"/>
        </w:rPr>
        <w:t xml:space="preserve"> </w:t>
      </w:r>
      <w:r>
        <w:rPr>
          <w:rFonts w:ascii="Georgia" w:hAnsi="Georgia"/>
          <w:sz w:val="24"/>
          <w:szCs w:val="24"/>
        </w:rPr>
        <w:t>within the international context</w:t>
      </w:r>
      <w:r w:rsidRPr="004A02D5">
        <w:rPr>
          <w:rFonts w:ascii="Georgia" w:hAnsi="Georgia"/>
          <w:sz w:val="24"/>
          <w:szCs w:val="24"/>
        </w:rPr>
        <w:t>.</w:t>
      </w:r>
    </w:p>
    <w:p w14:paraId="16BB830A" w14:textId="77777777" w:rsidR="00D11FA8" w:rsidRDefault="00D11FA8" w:rsidP="00D11FA8">
      <w:pPr>
        <w:spacing w:after="0" w:line="360" w:lineRule="auto"/>
        <w:rPr>
          <w:rFonts w:ascii="Georgia" w:hAnsi="Georgia"/>
          <w:sz w:val="24"/>
          <w:szCs w:val="24"/>
        </w:rPr>
      </w:pPr>
    </w:p>
    <w:p w14:paraId="329ED7E6" w14:textId="77777777" w:rsidR="00D11FA8" w:rsidRPr="00FD5B5E" w:rsidRDefault="00D11FA8" w:rsidP="00D11FA8">
      <w:pPr>
        <w:outlineLvl w:val="0"/>
        <w:rPr>
          <w:rFonts w:ascii="Georgia" w:hAnsi="Georgia"/>
          <w:b/>
          <w:bCs/>
          <w:sz w:val="24"/>
          <w:szCs w:val="24"/>
        </w:rPr>
      </w:pPr>
      <w:bookmarkStart w:id="13" w:name="_Toc58508966"/>
      <w:bookmarkStart w:id="14" w:name="_Toc62814301"/>
      <w:bookmarkEnd w:id="12"/>
      <w:r>
        <w:rPr>
          <w:rFonts w:ascii="Georgia" w:hAnsi="Georgia"/>
          <w:b/>
          <w:bCs/>
          <w:sz w:val="24"/>
          <w:szCs w:val="24"/>
        </w:rPr>
        <w:t>4</w:t>
      </w:r>
      <w:r w:rsidRPr="00FD5B5E">
        <w:rPr>
          <w:rFonts w:ascii="Georgia" w:hAnsi="Georgia"/>
          <w:b/>
          <w:bCs/>
          <w:sz w:val="24"/>
          <w:szCs w:val="24"/>
        </w:rPr>
        <w:t xml:space="preserve">.1 OECD and Taxpayers’ Rights </w:t>
      </w:r>
      <w:r>
        <w:rPr>
          <w:rFonts w:ascii="Georgia" w:hAnsi="Georgia"/>
          <w:b/>
          <w:bCs/>
          <w:sz w:val="24"/>
          <w:szCs w:val="24"/>
        </w:rPr>
        <w:t>i</w:t>
      </w:r>
      <w:r w:rsidRPr="00FD5B5E">
        <w:rPr>
          <w:rFonts w:ascii="Georgia" w:hAnsi="Georgia"/>
          <w:b/>
          <w:bCs/>
          <w:sz w:val="24"/>
          <w:szCs w:val="24"/>
        </w:rPr>
        <w:t xml:space="preserve">n </w:t>
      </w:r>
      <w:bookmarkStart w:id="15" w:name="_Hlk58576640"/>
      <w:r w:rsidRPr="00FD5B5E">
        <w:rPr>
          <w:rFonts w:ascii="Georgia" w:hAnsi="Georgia"/>
          <w:b/>
          <w:bCs/>
          <w:sz w:val="24"/>
          <w:szCs w:val="24"/>
        </w:rPr>
        <w:t>Transfer Pricing Digitalization</w:t>
      </w:r>
      <w:bookmarkEnd w:id="13"/>
      <w:bookmarkEnd w:id="14"/>
      <w:r w:rsidRPr="00FD5B5E">
        <w:rPr>
          <w:rFonts w:ascii="Georgia" w:hAnsi="Georgia"/>
          <w:b/>
          <w:bCs/>
          <w:sz w:val="24"/>
          <w:szCs w:val="24"/>
        </w:rPr>
        <w:t xml:space="preserve"> </w:t>
      </w:r>
      <w:bookmarkEnd w:id="15"/>
    </w:p>
    <w:p w14:paraId="12CD4E0D" w14:textId="77777777" w:rsidR="00D11FA8" w:rsidRDefault="00D11FA8" w:rsidP="00D11FA8">
      <w:pPr>
        <w:spacing w:after="0" w:line="360" w:lineRule="auto"/>
        <w:jc w:val="both"/>
        <w:rPr>
          <w:rFonts w:ascii="Georgia" w:hAnsi="Georgia"/>
          <w:sz w:val="24"/>
          <w:szCs w:val="24"/>
        </w:rPr>
      </w:pPr>
      <w:r>
        <w:rPr>
          <w:rFonts w:ascii="Georgia" w:hAnsi="Georgia"/>
          <w:sz w:val="24"/>
          <w:szCs w:val="24"/>
        </w:rPr>
        <w:t xml:space="preserve">The possibility to </w:t>
      </w:r>
      <w:bookmarkStart w:id="16" w:name="_Hlk58576679"/>
      <w:r>
        <w:rPr>
          <w:rFonts w:ascii="Georgia" w:hAnsi="Georgia"/>
          <w:sz w:val="24"/>
          <w:szCs w:val="24"/>
        </w:rPr>
        <w:t>apply disruptive technologies to transfer pricing has started to be discussed: b</w:t>
      </w:r>
      <w:r w:rsidRPr="00FD5B5E">
        <w:rPr>
          <w:rFonts w:ascii="Georgia" w:hAnsi="Georgia"/>
          <w:sz w:val="24"/>
          <w:szCs w:val="24"/>
        </w:rPr>
        <w:t>lockchain technology</w:t>
      </w:r>
      <w:r>
        <w:rPr>
          <w:rFonts w:ascii="Georgia" w:hAnsi="Georgia"/>
          <w:sz w:val="24"/>
          <w:szCs w:val="24"/>
        </w:rPr>
        <w:t xml:space="preserve"> could </w:t>
      </w:r>
      <w:proofErr w:type="spellStart"/>
      <w:r>
        <w:rPr>
          <w:rFonts w:ascii="Georgia" w:hAnsi="Georgia"/>
          <w:sz w:val="24"/>
          <w:szCs w:val="24"/>
        </w:rPr>
        <w:t>revolutionise</w:t>
      </w:r>
      <w:proofErr w:type="spellEnd"/>
      <w:r>
        <w:rPr>
          <w:rFonts w:ascii="Georgia" w:hAnsi="Georgia"/>
          <w:sz w:val="24"/>
          <w:szCs w:val="24"/>
        </w:rPr>
        <w:t xml:space="preserve"> transfer pricing documentation, granting a</w:t>
      </w:r>
      <w:r w:rsidRPr="00FD5B5E">
        <w:rPr>
          <w:rFonts w:ascii="Georgia" w:hAnsi="Georgia"/>
          <w:sz w:val="24"/>
          <w:szCs w:val="24"/>
        </w:rPr>
        <w:t>ccess and retention of data, transparency on a real-time basis, immutability,</w:t>
      </w:r>
      <w:r>
        <w:rPr>
          <w:rFonts w:ascii="Georgia" w:hAnsi="Georgia"/>
          <w:sz w:val="24"/>
          <w:szCs w:val="24"/>
        </w:rPr>
        <w:t xml:space="preserve"> </w:t>
      </w:r>
      <w:r w:rsidRPr="00FD5B5E">
        <w:rPr>
          <w:rFonts w:ascii="Georgia" w:hAnsi="Georgia"/>
          <w:sz w:val="24"/>
          <w:szCs w:val="24"/>
        </w:rPr>
        <w:lastRenderedPageBreak/>
        <w:t>confidentiality</w:t>
      </w:r>
      <w:r>
        <w:rPr>
          <w:rFonts w:ascii="Georgia" w:hAnsi="Georgia"/>
          <w:sz w:val="24"/>
          <w:szCs w:val="24"/>
        </w:rPr>
        <w:t xml:space="preserve">, </w:t>
      </w:r>
      <w:r w:rsidRPr="00FD5B5E">
        <w:rPr>
          <w:rFonts w:ascii="Georgia" w:hAnsi="Georgia"/>
          <w:sz w:val="24"/>
          <w:szCs w:val="24"/>
        </w:rPr>
        <w:t>data reliability</w:t>
      </w:r>
      <w:r>
        <w:rPr>
          <w:rFonts w:ascii="Georgia" w:hAnsi="Georgia"/>
          <w:sz w:val="24"/>
          <w:szCs w:val="24"/>
        </w:rPr>
        <w:t xml:space="preserve"> </w:t>
      </w:r>
      <w:r w:rsidRPr="00FD5B5E">
        <w:rPr>
          <w:rFonts w:ascii="Georgia" w:hAnsi="Georgia"/>
          <w:sz w:val="24"/>
          <w:szCs w:val="24"/>
        </w:rPr>
        <w:t>and reasonable compliance costs</w:t>
      </w:r>
      <w:bookmarkEnd w:id="16"/>
      <w:r w:rsidRPr="00FD5B5E">
        <w:rPr>
          <w:rFonts w:ascii="Georgia" w:hAnsi="Georgia"/>
          <w:sz w:val="24"/>
          <w:szCs w:val="24"/>
        </w:rPr>
        <w:t>.</w:t>
      </w:r>
      <w:r>
        <w:rPr>
          <w:rStyle w:val="Rimandonotaapidipagina"/>
          <w:rFonts w:ascii="Georgia" w:hAnsi="Georgia"/>
          <w:sz w:val="24"/>
          <w:szCs w:val="24"/>
        </w:rPr>
        <w:footnoteReference w:id="15"/>
      </w:r>
      <w:r>
        <w:rPr>
          <w:rFonts w:ascii="Georgia" w:hAnsi="Georgia"/>
          <w:sz w:val="24"/>
          <w:szCs w:val="24"/>
        </w:rPr>
        <w:t xml:space="preserve"> On the one hand, this would implement OECD goals of BEPS Action 13; on the other hand, taxpayers compliance would be simplified and standardized with a positive impact on the crucial issue of data access and retention . According to an IBM’s research, </w:t>
      </w:r>
      <w:r w:rsidRPr="00B82145">
        <w:rPr>
          <w:rFonts w:ascii="Georgia" w:hAnsi="Georgia"/>
          <w:sz w:val="24"/>
          <w:szCs w:val="24"/>
        </w:rPr>
        <w:t>blockchain would enable its participants “</w:t>
      </w:r>
      <w:r w:rsidRPr="000C3BCA">
        <w:rPr>
          <w:rFonts w:ascii="Georgia" w:hAnsi="Georgia"/>
          <w:i/>
          <w:iCs/>
          <w:sz w:val="24"/>
          <w:szCs w:val="24"/>
        </w:rPr>
        <w:t xml:space="preserve">to trace transactions and </w:t>
      </w:r>
      <w:r>
        <w:rPr>
          <w:rFonts w:ascii="Georgia" w:hAnsi="Georgia"/>
          <w:i/>
          <w:iCs/>
          <w:sz w:val="24"/>
          <w:szCs w:val="24"/>
        </w:rPr>
        <w:t>to support</w:t>
      </w:r>
      <w:r w:rsidRPr="000C3BCA">
        <w:rPr>
          <w:rFonts w:ascii="Georgia" w:hAnsi="Georgia"/>
          <w:i/>
          <w:iCs/>
          <w:sz w:val="24"/>
          <w:szCs w:val="24"/>
        </w:rPr>
        <w:t xml:space="preserve"> documentation end-to-end, transaction by transaction and reconcile accounting entries even years after they were incurred</w:t>
      </w:r>
      <w:r w:rsidRPr="00B82145">
        <w:rPr>
          <w:rFonts w:ascii="Georgia" w:hAnsi="Georgia"/>
          <w:sz w:val="24"/>
          <w:szCs w:val="24"/>
        </w:rPr>
        <w:t>”</w:t>
      </w:r>
      <w:r>
        <w:rPr>
          <w:rFonts w:ascii="Georgia" w:hAnsi="Georgia"/>
          <w:sz w:val="24"/>
          <w:szCs w:val="24"/>
        </w:rPr>
        <w:t>.</w:t>
      </w:r>
      <w:r>
        <w:rPr>
          <w:rStyle w:val="Rimandonotaapidipagina"/>
          <w:rFonts w:ascii="Georgia" w:hAnsi="Georgia"/>
          <w:sz w:val="24"/>
          <w:szCs w:val="24"/>
        </w:rPr>
        <w:footnoteReference w:id="16"/>
      </w:r>
      <w:r>
        <w:rPr>
          <w:rFonts w:ascii="Georgia" w:hAnsi="Georgia"/>
          <w:sz w:val="24"/>
          <w:szCs w:val="24"/>
        </w:rPr>
        <w:t xml:space="preserve">The hypothesis is based on the use of private blockchain on behalf of MNEs, granting access to a range of participants including tax authorities in all jurisdictions connected with the MNE group. It would be a </w:t>
      </w:r>
      <w:bookmarkStart w:id="17" w:name="_Hlk58576737"/>
      <w:r>
        <w:rPr>
          <w:rFonts w:ascii="Georgia" w:hAnsi="Georgia"/>
          <w:sz w:val="24"/>
          <w:szCs w:val="24"/>
        </w:rPr>
        <w:t xml:space="preserve">blockchain </w:t>
      </w:r>
      <w:proofErr w:type="spellStart"/>
      <w:r>
        <w:rPr>
          <w:rFonts w:ascii="Georgia" w:hAnsi="Georgia"/>
          <w:sz w:val="24"/>
          <w:szCs w:val="24"/>
        </w:rPr>
        <w:t>CbC</w:t>
      </w:r>
      <w:proofErr w:type="spellEnd"/>
      <w:r>
        <w:rPr>
          <w:rFonts w:ascii="Georgia" w:hAnsi="Georgia"/>
          <w:sz w:val="24"/>
          <w:szCs w:val="24"/>
        </w:rPr>
        <w:t xml:space="preserve"> report in which the sharing of the </w:t>
      </w:r>
      <w:proofErr w:type="spellStart"/>
      <w:r>
        <w:rPr>
          <w:rFonts w:ascii="Georgia" w:hAnsi="Georgia"/>
          <w:sz w:val="24"/>
          <w:szCs w:val="24"/>
        </w:rPr>
        <w:t>CbC</w:t>
      </w:r>
      <w:proofErr w:type="spellEnd"/>
      <w:r>
        <w:rPr>
          <w:rFonts w:ascii="Georgia" w:hAnsi="Georgia"/>
          <w:sz w:val="24"/>
          <w:szCs w:val="24"/>
        </w:rPr>
        <w:t xml:space="preserve"> reports around the world is automate and available to all the participants on real-time basis</w:t>
      </w:r>
      <w:bookmarkEnd w:id="17"/>
      <w:r>
        <w:rPr>
          <w:rFonts w:ascii="Georgia" w:hAnsi="Georgia"/>
          <w:sz w:val="24"/>
          <w:szCs w:val="24"/>
        </w:rPr>
        <w:t>.</w:t>
      </w:r>
      <w:r>
        <w:rPr>
          <w:rStyle w:val="Rimandonotaapidipagina"/>
          <w:rFonts w:ascii="Georgia" w:hAnsi="Georgia"/>
          <w:sz w:val="24"/>
          <w:szCs w:val="24"/>
        </w:rPr>
        <w:footnoteReference w:id="17"/>
      </w:r>
      <w:r>
        <w:rPr>
          <w:rFonts w:ascii="Georgia" w:hAnsi="Georgia"/>
          <w:sz w:val="24"/>
          <w:szCs w:val="24"/>
        </w:rPr>
        <w:t xml:space="preserve"> </w:t>
      </w:r>
    </w:p>
    <w:p w14:paraId="693804BD" w14:textId="77777777" w:rsidR="00D11FA8" w:rsidRDefault="00D11FA8" w:rsidP="00D11FA8">
      <w:pPr>
        <w:spacing w:after="0" w:line="360" w:lineRule="auto"/>
        <w:jc w:val="both"/>
        <w:rPr>
          <w:rFonts w:ascii="Georgia" w:hAnsi="Georgia"/>
          <w:sz w:val="24"/>
          <w:szCs w:val="24"/>
        </w:rPr>
      </w:pPr>
      <w:r>
        <w:rPr>
          <w:rFonts w:ascii="Georgia" w:hAnsi="Georgia"/>
          <w:sz w:val="24"/>
          <w:szCs w:val="24"/>
        </w:rPr>
        <w:t>T</w:t>
      </w:r>
      <w:r w:rsidRPr="002553F5">
        <w:rPr>
          <w:rFonts w:ascii="Georgia" w:hAnsi="Georgia"/>
          <w:sz w:val="24"/>
          <w:szCs w:val="24"/>
        </w:rPr>
        <w:t xml:space="preserve">he application profiles and the feasibility of such a "revolution" from the technical and </w:t>
      </w:r>
      <w:r>
        <w:rPr>
          <w:rFonts w:ascii="Georgia" w:hAnsi="Georgia"/>
          <w:sz w:val="24"/>
          <w:szCs w:val="24"/>
        </w:rPr>
        <w:t>costs-benefits</w:t>
      </w:r>
      <w:r w:rsidRPr="002553F5">
        <w:rPr>
          <w:rFonts w:ascii="Georgia" w:hAnsi="Georgia"/>
          <w:sz w:val="24"/>
          <w:szCs w:val="24"/>
        </w:rPr>
        <w:t xml:space="preserve"> point of view cannot be investigated in this paper. However, the proposal deserves to be analyzed evaluating its impact also </w:t>
      </w:r>
      <w:r>
        <w:rPr>
          <w:rFonts w:ascii="Georgia" w:hAnsi="Georgia"/>
          <w:sz w:val="24"/>
          <w:szCs w:val="24"/>
        </w:rPr>
        <w:t>in the light</w:t>
      </w:r>
      <w:r w:rsidRPr="002553F5">
        <w:rPr>
          <w:rFonts w:ascii="Georgia" w:hAnsi="Georgia"/>
          <w:sz w:val="24"/>
          <w:szCs w:val="24"/>
        </w:rPr>
        <w:t xml:space="preserve"> of taxpayers' rights.</w:t>
      </w:r>
    </w:p>
    <w:p w14:paraId="251AB375" w14:textId="77777777" w:rsidR="00D11FA8" w:rsidRDefault="00D11FA8" w:rsidP="00D11FA8">
      <w:pPr>
        <w:spacing w:after="0" w:line="360" w:lineRule="auto"/>
        <w:jc w:val="both"/>
        <w:rPr>
          <w:rFonts w:ascii="Georgia" w:hAnsi="Georgia"/>
          <w:sz w:val="24"/>
          <w:szCs w:val="24"/>
        </w:rPr>
      </w:pPr>
      <w:r>
        <w:rPr>
          <w:rFonts w:ascii="Georgia" w:hAnsi="Georgia"/>
          <w:sz w:val="24"/>
          <w:szCs w:val="24"/>
        </w:rPr>
        <w:t>The blockchain proposal, indeed</w:t>
      </w:r>
      <w:bookmarkStart w:id="18" w:name="_Hlk58576796"/>
      <w:r>
        <w:rPr>
          <w:rFonts w:ascii="Georgia" w:hAnsi="Georgia"/>
          <w:sz w:val="24"/>
          <w:szCs w:val="24"/>
        </w:rPr>
        <w:t xml:space="preserve">, implies access regarding sensitive information and </w:t>
      </w:r>
      <w:r w:rsidRPr="000C3BCA">
        <w:rPr>
          <w:rFonts w:ascii="Georgia" w:hAnsi="Georgia"/>
          <w:sz w:val="24"/>
          <w:szCs w:val="24"/>
        </w:rPr>
        <w:t>storage of “bulk data” in different countries</w:t>
      </w:r>
      <w:r>
        <w:rPr>
          <w:rFonts w:ascii="Georgia" w:hAnsi="Georgia"/>
          <w:sz w:val="24"/>
          <w:szCs w:val="24"/>
        </w:rPr>
        <w:t>; this</w:t>
      </w:r>
      <w:r w:rsidRPr="000C3BCA">
        <w:rPr>
          <w:rFonts w:ascii="Georgia" w:hAnsi="Georgia"/>
          <w:sz w:val="24"/>
          <w:szCs w:val="24"/>
        </w:rPr>
        <w:t xml:space="preserve"> inevitably increases</w:t>
      </w:r>
      <w:r>
        <w:rPr>
          <w:rFonts w:ascii="Georgia" w:hAnsi="Georgia"/>
          <w:sz w:val="24"/>
          <w:szCs w:val="24"/>
        </w:rPr>
        <w:t xml:space="preserve"> </w:t>
      </w:r>
      <w:r w:rsidRPr="000C3BCA">
        <w:rPr>
          <w:rFonts w:ascii="Georgia" w:hAnsi="Georgia"/>
          <w:sz w:val="24"/>
          <w:szCs w:val="24"/>
        </w:rPr>
        <w:t>the risk of information being used in an unlawful way.</w:t>
      </w:r>
      <w:r>
        <w:rPr>
          <w:rStyle w:val="Rimandonotaapidipagina"/>
          <w:rFonts w:ascii="Georgia" w:hAnsi="Georgia"/>
          <w:sz w:val="24"/>
          <w:szCs w:val="24"/>
        </w:rPr>
        <w:footnoteReference w:id="18"/>
      </w:r>
      <w:r w:rsidRPr="000C3BCA">
        <w:rPr>
          <w:rFonts w:ascii="Georgia" w:hAnsi="Georgia"/>
          <w:sz w:val="24"/>
          <w:szCs w:val="24"/>
        </w:rPr>
        <w:t xml:space="preserve"> </w:t>
      </w:r>
      <w:r>
        <w:rPr>
          <w:rFonts w:ascii="Georgia" w:hAnsi="Georgia"/>
          <w:sz w:val="24"/>
          <w:szCs w:val="24"/>
        </w:rPr>
        <w:t xml:space="preserve">The BEPS Action 13 Final Report </w:t>
      </w:r>
      <w:r w:rsidRPr="000C3BCA">
        <w:rPr>
          <w:rFonts w:ascii="Georgia" w:hAnsi="Georgia"/>
          <w:sz w:val="24"/>
          <w:szCs w:val="24"/>
        </w:rPr>
        <w:t xml:space="preserve">takes care to reassure </w:t>
      </w:r>
      <w:bookmarkEnd w:id="18"/>
      <w:r w:rsidRPr="000C3BCA">
        <w:rPr>
          <w:rFonts w:ascii="Georgia" w:hAnsi="Georgia"/>
          <w:sz w:val="24"/>
          <w:szCs w:val="24"/>
        </w:rPr>
        <w:t>that</w:t>
      </w:r>
      <w:r>
        <w:rPr>
          <w:rFonts w:ascii="Georgia" w:hAnsi="Georgia"/>
          <w:sz w:val="24"/>
          <w:szCs w:val="24"/>
        </w:rPr>
        <w:t xml:space="preserve"> tax administrations should adopt measures “</w:t>
      </w:r>
      <w:r w:rsidRPr="000C3BCA">
        <w:rPr>
          <w:rFonts w:ascii="Georgia" w:hAnsi="Georgia"/>
          <w:i/>
          <w:iCs/>
          <w:sz w:val="24"/>
          <w:szCs w:val="24"/>
        </w:rPr>
        <w:t>to ensure that there is no public disclosure of confidential information (trade secrets, scientific secrets, etc.) and other commercially sensitive information contained in the documentation package (master file, local file, and Country</w:t>
      </w:r>
      <w:r>
        <w:rPr>
          <w:rFonts w:ascii="Georgia" w:hAnsi="Georgia"/>
          <w:i/>
          <w:iCs/>
          <w:sz w:val="24"/>
          <w:szCs w:val="24"/>
        </w:rPr>
        <w:t xml:space="preserve"> </w:t>
      </w:r>
      <w:r w:rsidRPr="000C3BCA">
        <w:rPr>
          <w:rFonts w:ascii="Georgia" w:hAnsi="Georgia"/>
          <w:i/>
          <w:iCs/>
          <w:sz w:val="24"/>
          <w:szCs w:val="24"/>
        </w:rPr>
        <w:t>by- Country Report</w:t>
      </w:r>
      <w:r w:rsidRPr="000C3BCA">
        <w:rPr>
          <w:rFonts w:ascii="Georgia" w:hAnsi="Georgia"/>
          <w:sz w:val="24"/>
          <w:szCs w:val="24"/>
        </w:rPr>
        <w:t>)”.</w:t>
      </w:r>
      <w:r>
        <w:rPr>
          <w:rStyle w:val="Rimandonotaapidipagina"/>
          <w:rFonts w:ascii="Georgia" w:hAnsi="Georgia"/>
          <w:sz w:val="24"/>
          <w:szCs w:val="24"/>
        </w:rPr>
        <w:footnoteReference w:id="19"/>
      </w:r>
      <w:r>
        <w:rPr>
          <w:rFonts w:ascii="Georgia" w:hAnsi="Georgia"/>
          <w:sz w:val="24"/>
          <w:szCs w:val="24"/>
        </w:rPr>
        <w:t xml:space="preserve"> </w:t>
      </w:r>
      <w:bookmarkStart w:id="19" w:name="_Hlk58576837"/>
      <w:r>
        <w:rPr>
          <w:rFonts w:ascii="Georgia" w:hAnsi="Georgia"/>
          <w:sz w:val="24"/>
          <w:szCs w:val="24"/>
        </w:rPr>
        <w:t xml:space="preserve">The right to </w:t>
      </w:r>
      <w:r w:rsidRPr="000C3BCA">
        <w:rPr>
          <w:rFonts w:ascii="Georgia" w:hAnsi="Georgia"/>
          <w:sz w:val="24"/>
          <w:szCs w:val="24"/>
        </w:rPr>
        <w:t>confidentiality and secrecy</w:t>
      </w:r>
      <w:r>
        <w:rPr>
          <w:rFonts w:ascii="Georgia" w:hAnsi="Georgia"/>
          <w:sz w:val="24"/>
          <w:szCs w:val="24"/>
        </w:rPr>
        <w:t xml:space="preserve"> is then specifically </w:t>
      </w:r>
      <w:r w:rsidRPr="000C3BCA">
        <w:rPr>
          <w:rFonts w:ascii="Georgia" w:hAnsi="Georgia"/>
          <w:sz w:val="24"/>
          <w:szCs w:val="24"/>
        </w:rPr>
        <w:t>reiterated</w:t>
      </w:r>
      <w:r>
        <w:rPr>
          <w:rFonts w:ascii="Georgia" w:hAnsi="Georgia"/>
          <w:sz w:val="24"/>
          <w:szCs w:val="24"/>
        </w:rPr>
        <w:t xml:space="preserve"> within the transfer pricing context, even if TP rules involve legal persons</w:t>
      </w:r>
      <w:bookmarkEnd w:id="19"/>
      <w:r>
        <w:rPr>
          <w:rFonts w:ascii="Georgia" w:hAnsi="Georgia"/>
          <w:sz w:val="24"/>
          <w:szCs w:val="24"/>
        </w:rPr>
        <w:t xml:space="preserve">. </w:t>
      </w:r>
    </w:p>
    <w:p w14:paraId="0C635F75" w14:textId="77777777" w:rsidR="00D11FA8" w:rsidRDefault="00D11FA8" w:rsidP="00E57D41">
      <w:pPr>
        <w:outlineLvl w:val="0"/>
        <w:rPr>
          <w:rFonts w:ascii="Georgia" w:hAnsi="Georgia"/>
          <w:sz w:val="24"/>
          <w:szCs w:val="24"/>
        </w:rPr>
      </w:pPr>
    </w:p>
    <w:p w14:paraId="5B51B7B6" w14:textId="016CBD53" w:rsidR="00D11FA8" w:rsidRPr="00FD5B5E" w:rsidRDefault="00D11FA8" w:rsidP="00E57D41">
      <w:pPr>
        <w:outlineLvl w:val="0"/>
        <w:rPr>
          <w:rFonts w:ascii="Georgia" w:hAnsi="Georgia"/>
          <w:b/>
          <w:bCs/>
          <w:sz w:val="24"/>
          <w:szCs w:val="24"/>
        </w:rPr>
      </w:pPr>
      <w:bookmarkStart w:id="20" w:name="_Toc58508967"/>
      <w:bookmarkStart w:id="21" w:name="_Toc62814302"/>
      <w:r>
        <w:rPr>
          <w:rFonts w:ascii="Georgia" w:hAnsi="Georgia"/>
          <w:b/>
          <w:bCs/>
          <w:sz w:val="24"/>
          <w:szCs w:val="24"/>
        </w:rPr>
        <w:t>4</w:t>
      </w:r>
      <w:r w:rsidRPr="00FD5B5E">
        <w:rPr>
          <w:rFonts w:ascii="Georgia" w:hAnsi="Georgia"/>
          <w:b/>
          <w:bCs/>
          <w:sz w:val="24"/>
          <w:szCs w:val="24"/>
        </w:rPr>
        <w:t>.</w:t>
      </w:r>
      <w:r>
        <w:rPr>
          <w:rFonts w:ascii="Georgia" w:hAnsi="Georgia"/>
          <w:b/>
          <w:bCs/>
          <w:sz w:val="24"/>
          <w:szCs w:val="24"/>
        </w:rPr>
        <w:t>2</w:t>
      </w:r>
      <w:r w:rsidRPr="00FD5B5E">
        <w:rPr>
          <w:rFonts w:ascii="Georgia" w:hAnsi="Georgia"/>
          <w:b/>
          <w:bCs/>
          <w:sz w:val="24"/>
          <w:szCs w:val="24"/>
        </w:rPr>
        <w:t xml:space="preserve"> OECD and Taxpayers’ Rights </w:t>
      </w:r>
      <w:bookmarkStart w:id="22" w:name="_Hlk58576901"/>
      <w:r>
        <w:rPr>
          <w:rFonts w:ascii="Georgia" w:hAnsi="Georgia"/>
          <w:b/>
          <w:bCs/>
          <w:sz w:val="24"/>
          <w:szCs w:val="24"/>
        </w:rPr>
        <w:t>i</w:t>
      </w:r>
      <w:r w:rsidRPr="00FD5B5E">
        <w:rPr>
          <w:rFonts w:ascii="Georgia" w:hAnsi="Georgia"/>
          <w:b/>
          <w:bCs/>
          <w:sz w:val="24"/>
          <w:szCs w:val="24"/>
        </w:rPr>
        <w:t xml:space="preserve">n </w:t>
      </w:r>
      <w:r w:rsidRPr="007832FE">
        <w:rPr>
          <w:rFonts w:ascii="Georgia" w:hAnsi="Georgia"/>
          <w:b/>
          <w:bCs/>
          <w:sz w:val="24"/>
          <w:szCs w:val="24"/>
        </w:rPr>
        <w:t>Exchange of Rulings</w:t>
      </w:r>
      <w:r>
        <w:rPr>
          <w:rFonts w:ascii="Georgia" w:hAnsi="Georgia"/>
          <w:b/>
          <w:bCs/>
          <w:sz w:val="24"/>
          <w:szCs w:val="24"/>
        </w:rPr>
        <w:t xml:space="preserve"> </w:t>
      </w:r>
      <w:bookmarkEnd w:id="22"/>
      <w:r>
        <w:rPr>
          <w:rFonts w:ascii="Georgia" w:hAnsi="Georgia"/>
          <w:b/>
          <w:bCs/>
          <w:sz w:val="24"/>
          <w:szCs w:val="24"/>
        </w:rPr>
        <w:t>(</w:t>
      </w:r>
      <w:r w:rsidRPr="007832FE">
        <w:rPr>
          <w:rFonts w:ascii="Georgia" w:hAnsi="Georgia"/>
          <w:b/>
          <w:bCs/>
          <w:sz w:val="24"/>
          <w:szCs w:val="24"/>
        </w:rPr>
        <w:t>BEPS Action 5</w:t>
      </w:r>
      <w:r>
        <w:rPr>
          <w:rFonts w:ascii="Georgia" w:hAnsi="Georgia"/>
          <w:b/>
          <w:bCs/>
          <w:sz w:val="24"/>
          <w:szCs w:val="24"/>
        </w:rPr>
        <w:t>)</w:t>
      </w:r>
      <w:bookmarkEnd w:id="20"/>
      <w:bookmarkEnd w:id="21"/>
    </w:p>
    <w:p w14:paraId="6901A166" w14:textId="77777777" w:rsidR="00D11FA8" w:rsidRPr="006C2B19" w:rsidRDefault="00D11FA8" w:rsidP="00D11FA8">
      <w:pPr>
        <w:spacing w:after="0" w:line="360" w:lineRule="auto"/>
        <w:jc w:val="both"/>
        <w:rPr>
          <w:rFonts w:ascii="Georgia" w:hAnsi="Georgia"/>
          <w:sz w:val="24"/>
          <w:szCs w:val="24"/>
        </w:rPr>
      </w:pPr>
      <w:r>
        <w:rPr>
          <w:rFonts w:ascii="Georgia" w:hAnsi="Georgia"/>
          <w:sz w:val="24"/>
          <w:szCs w:val="24"/>
        </w:rPr>
        <w:t xml:space="preserve">Under BEPS action 5, </w:t>
      </w:r>
      <w:r w:rsidRPr="006C2B19">
        <w:rPr>
          <w:rFonts w:ascii="Georgia" w:hAnsi="Georgia"/>
          <w:sz w:val="24"/>
          <w:szCs w:val="24"/>
        </w:rPr>
        <w:t>transparency</w:t>
      </w:r>
      <w:r>
        <w:rPr>
          <w:rFonts w:ascii="Georgia" w:hAnsi="Georgia"/>
          <w:sz w:val="24"/>
          <w:szCs w:val="24"/>
        </w:rPr>
        <w:t xml:space="preserve"> - </w:t>
      </w:r>
      <w:r w:rsidRPr="006C2B19">
        <w:rPr>
          <w:rFonts w:ascii="Georgia" w:hAnsi="Georgia"/>
          <w:sz w:val="24"/>
          <w:szCs w:val="24"/>
        </w:rPr>
        <w:t>including the compulsory spontaneous exchange of</w:t>
      </w:r>
    </w:p>
    <w:p w14:paraId="7E99AF8D" w14:textId="77777777" w:rsidR="00D11FA8" w:rsidRDefault="00D11FA8" w:rsidP="00D11FA8">
      <w:pPr>
        <w:spacing w:after="0" w:line="360" w:lineRule="auto"/>
        <w:jc w:val="both"/>
        <w:rPr>
          <w:rFonts w:ascii="Georgia" w:hAnsi="Georgia"/>
          <w:sz w:val="24"/>
          <w:szCs w:val="24"/>
        </w:rPr>
      </w:pPr>
      <w:r w:rsidRPr="006C2B19">
        <w:rPr>
          <w:rFonts w:ascii="Georgia" w:hAnsi="Georgia"/>
          <w:sz w:val="24"/>
          <w:szCs w:val="24"/>
        </w:rPr>
        <w:t>information on certain rulings</w:t>
      </w:r>
      <w:r>
        <w:rPr>
          <w:rFonts w:ascii="Georgia" w:hAnsi="Georgia"/>
          <w:sz w:val="24"/>
          <w:szCs w:val="24"/>
        </w:rPr>
        <w:t xml:space="preserve"> – has to be improved. T</w:t>
      </w:r>
      <w:r w:rsidRPr="006C2B19">
        <w:rPr>
          <w:rFonts w:ascii="Georgia" w:hAnsi="Georgia"/>
          <w:sz w:val="24"/>
          <w:szCs w:val="24"/>
        </w:rPr>
        <w:t>he agreed OECD framework for the compulsory spontaneous exchange of information in</w:t>
      </w:r>
      <w:r>
        <w:rPr>
          <w:rFonts w:ascii="Georgia" w:hAnsi="Georgia"/>
          <w:sz w:val="24"/>
          <w:szCs w:val="24"/>
        </w:rPr>
        <w:t xml:space="preserve"> </w:t>
      </w:r>
      <w:r w:rsidRPr="006C2B19">
        <w:rPr>
          <w:rFonts w:ascii="Georgia" w:hAnsi="Georgia"/>
          <w:sz w:val="24"/>
          <w:szCs w:val="24"/>
        </w:rPr>
        <w:t>respect of rulings includes six categories of taxpayer-specific rulings</w:t>
      </w:r>
      <w:r>
        <w:rPr>
          <w:rFonts w:ascii="Georgia" w:hAnsi="Georgia"/>
          <w:sz w:val="24"/>
          <w:szCs w:val="24"/>
        </w:rPr>
        <w:t xml:space="preserve">. </w:t>
      </w:r>
      <w:r>
        <w:rPr>
          <w:rStyle w:val="Rimandonotaapidipagina"/>
          <w:rFonts w:ascii="Georgia" w:hAnsi="Georgia"/>
          <w:sz w:val="24"/>
          <w:szCs w:val="24"/>
        </w:rPr>
        <w:footnoteReference w:id="20"/>
      </w:r>
      <w:r w:rsidRPr="006C2B19">
        <w:rPr>
          <w:rFonts w:ascii="Georgia" w:hAnsi="Georgia"/>
          <w:sz w:val="24"/>
          <w:szCs w:val="24"/>
        </w:rPr>
        <w:t xml:space="preserve"> </w:t>
      </w:r>
      <w:r>
        <w:rPr>
          <w:rFonts w:ascii="Georgia" w:hAnsi="Georgia"/>
          <w:sz w:val="24"/>
          <w:szCs w:val="24"/>
        </w:rPr>
        <w:t>The final Report aims at granting t</w:t>
      </w:r>
      <w:r w:rsidRPr="006C2B19">
        <w:rPr>
          <w:rFonts w:ascii="Georgia" w:hAnsi="Georgia"/>
          <w:sz w:val="24"/>
          <w:szCs w:val="24"/>
        </w:rPr>
        <w:t xml:space="preserve">he availability </w:t>
      </w:r>
      <w:r w:rsidRPr="006C2B19">
        <w:rPr>
          <w:rFonts w:ascii="Georgia" w:hAnsi="Georgia"/>
          <w:sz w:val="24"/>
          <w:szCs w:val="24"/>
        </w:rPr>
        <w:lastRenderedPageBreak/>
        <w:t>of timely and</w:t>
      </w:r>
      <w:r>
        <w:rPr>
          <w:rFonts w:ascii="Georgia" w:hAnsi="Georgia"/>
          <w:sz w:val="24"/>
          <w:szCs w:val="24"/>
        </w:rPr>
        <w:t xml:space="preserve"> </w:t>
      </w:r>
      <w:r w:rsidRPr="006C2B19">
        <w:rPr>
          <w:rFonts w:ascii="Georgia" w:hAnsi="Georgia"/>
          <w:sz w:val="24"/>
          <w:szCs w:val="24"/>
        </w:rPr>
        <w:t>targeted information</w:t>
      </w:r>
      <w:r>
        <w:rPr>
          <w:rFonts w:ascii="Georgia" w:hAnsi="Georgia"/>
          <w:sz w:val="24"/>
          <w:szCs w:val="24"/>
        </w:rPr>
        <w:t xml:space="preserve">, by balancing information relevance for tax purposes and the avoidance of </w:t>
      </w:r>
      <w:r w:rsidRPr="006C2B19">
        <w:rPr>
          <w:rFonts w:ascii="Georgia" w:hAnsi="Georgia"/>
          <w:sz w:val="24"/>
          <w:szCs w:val="24"/>
        </w:rPr>
        <w:t>unnecessary administrative burden</w:t>
      </w:r>
      <w:r>
        <w:rPr>
          <w:rFonts w:ascii="Georgia" w:hAnsi="Georgia"/>
          <w:sz w:val="24"/>
          <w:szCs w:val="24"/>
        </w:rPr>
        <w:t xml:space="preserve">s. It is important to underline that the ruling is not transmitted as a whole, but that </w:t>
      </w:r>
      <w:r w:rsidRPr="006C2B19">
        <w:rPr>
          <w:rFonts w:ascii="Georgia" w:hAnsi="Georgia"/>
          <w:sz w:val="24"/>
          <w:szCs w:val="24"/>
        </w:rPr>
        <w:t>tax</w:t>
      </w:r>
      <w:r>
        <w:rPr>
          <w:rFonts w:ascii="Georgia" w:hAnsi="Georgia"/>
          <w:sz w:val="24"/>
          <w:szCs w:val="24"/>
        </w:rPr>
        <w:t xml:space="preserve"> </w:t>
      </w:r>
      <w:r w:rsidRPr="006C2B19">
        <w:rPr>
          <w:rFonts w:ascii="Georgia" w:hAnsi="Georgia"/>
          <w:sz w:val="24"/>
          <w:szCs w:val="24"/>
        </w:rPr>
        <w:t>administration provides a summary and some basic information on</w:t>
      </w:r>
      <w:r>
        <w:rPr>
          <w:rFonts w:ascii="Georgia" w:hAnsi="Georgia"/>
          <w:sz w:val="24"/>
          <w:szCs w:val="24"/>
        </w:rPr>
        <w:t xml:space="preserve"> it, according to a specific template. Once again, </w:t>
      </w:r>
      <w:bookmarkStart w:id="23" w:name="_Hlk58576954"/>
      <w:r>
        <w:rPr>
          <w:rFonts w:ascii="Georgia" w:hAnsi="Georgia"/>
          <w:sz w:val="24"/>
          <w:szCs w:val="24"/>
        </w:rPr>
        <w:t>the Report imposes that b</w:t>
      </w:r>
      <w:r w:rsidRPr="007A1DB8">
        <w:rPr>
          <w:rFonts w:ascii="Georgia" w:hAnsi="Georgia"/>
          <w:sz w:val="24"/>
          <w:szCs w:val="24"/>
        </w:rPr>
        <w:t>oth the country exchanging information and its taxpayers have a legal right to</w:t>
      </w:r>
      <w:r>
        <w:rPr>
          <w:rFonts w:ascii="Georgia" w:hAnsi="Georgia"/>
          <w:sz w:val="24"/>
          <w:szCs w:val="24"/>
        </w:rPr>
        <w:t xml:space="preserve"> </w:t>
      </w:r>
      <w:r w:rsidRPr="007A1DB8">
        <w:rPr>
          <w:rFonts w:ascii="Georgia" w:hAnsi="Georgia"/>
          <w:sz w:val="24"/>
          <w:szCs w:val="24"/>
        </w:rPr>
        <w:t>expect that information exchanged pursuant to the framework remains confidential</w:t>
      </w:r>
      <w:bookmarkEnd w:id="23"/>
      <w:r w:rsidRPr="007A1DB8">
        <w:rPr>
          <w:rFonts w:ascii="Georgia" w:hAnsi="Georgia"/>
          <w:sz w:val="24"/>
          <w:szCs w:val="24"/>
        </w:rPr>
        <w:t>. The</w:t>
      </w:r>
      <w:r>
        <w:rPr>
          <w:rFonts w:ascii="Georgia" w:hAnsi="Georgia"/>
          <w:sz w:val="24"/>
          <w:szCs w:val="24"/>
        </w:rPr>
        <w:t xml:space="preserve"> </w:t>
      </w:r>
      <w:r w:rsidRPr="007A1DB8">
        <w:rPr>
          <w:rFonts w:ascii="Georgia" w:hAnsi="Georgia"/>
          <w:sz w:val="24"/>
          <w:szCs w:val="24"/>
        </w:rPr>
        <w:t>receiving country must therefore have the legal framework necessary to protect</w:t>
      </w:r>
      <w:r>
        <w:rPr>
          <w:rFonts w:ascii="Georgia" w:hAnsi="Georgia"/>
          <w:sz w:val="24"/>
          <w:szCs w:val="24"/>
        </w:rPr>
        <w:t xml:space="preserve"> </w:t>
      </w:r>
      <w:r w:rsidRPr="007A1DB8">
        <w:rPr>
          <w:rFonts w:ascii="Georgia" w:hAnsi="Georgia"/>
          <w:sz w:val="24"/>
          <w:szCs w:val="24"/>
        </w:rPr>
        <w:t>exchanged</w:t>
      </w:r>
      <w:r w:rsidRPr="002A4902">
        <w:rPr>
          <w:rFonts w:ascii="Georgia" w:hAnsi="Georgia"/>
          <w:sz w:val="24"/>
          <w:szCs w:val="24"/>
        </w:rPr>
        <w:t xml:space="preserve"> </w:t>
      </w:r>
      <w:r w:rsidRPr="007A1DB8">
        <w:rPr>
          <w:rFonts w:ascii="Georgia" w:hAnsi="Georgia"/>
          <w:sz w:val="24"/>
          <w:szCs w:val="24"/>
        </w:rPr>
        <w:t>information</w:t>
      </w:r>
      <w:r>
        <w:rPr>
          <w:rFonts w:ascii="Georgia" w:hAnsi="Georgia"/>
          <w:sz w:val="24"/>
          <w:szCs w:val="24"/>
        </w:rPr>
        <w:t>.</w:t>
      </w:r>
      <w:r>
        <w:rPr>
          <w:rStyle w:val="Rimandonotaapidipagina"/>
          <w:rFonts w:ascii="Georgia" w:hAnsi="Georgia"/>
          <w:sz w:val="24"/>
          <w:szCs w:val="24"/>
        </w:rPr>
        <w:footnoteReference w:id="21"/>
      </w:r>
      <w:r>
        <w:rPr>
          <w:rFonts w:ascii="Georgia" w:hAnsi="Georgia"/>
          <w:sz w:val="24"/>
          <w:szCs w:val="24"/>
        </w:rPr>
        <w:t xml:space="preserve"> Therefore, </w:t>
      </w:r>
      <w:bookmarkStart w:id="24" w:name="_Hlk58577010"/>
      <w:r>
        <w:rPr>
          <w:rFonts w:ascii="Georgia" w:hAnsi="Georgia"/>
          <w:sz w:val="24"/>
          <w:szCs w:val="24"/>
        </w:rPr>
        <w:t xml:space="preserve">information </w:t>
      </w:r>
      <w:r w:rsidRPr="007A1DB8">
        <w:rPr>
          <w:rFonts w:ascii="Georgia" w:hAnsi="Georgia"/>
          <w:sz w:val="24"/>
          <w:szCs w:val="24"/>
        </w:rPr>
        <w:t>may be used only for tax</w:t>
      </w:r>
      <w:r>
        <w:rPr>
          <w:rFonts w:ascii="Georgia" w:hAnsi="Georgia"/>
          <w:sz w:val="24"/>
          <w:szCs w:val="24"/>
        </w:rPr>
        <w:t xml:space="preserve"> </w:t>
      </w:r>
      <w:r w:rsidRPr="007A1DB8">
        <w:rPr>
          <w:rFonts w:ascii="Georgia" w:hAnsi="Georgia"/>
          <w:sz w:val="24"/>
          <w:szCs w:val="24"/>
        </w:rPr>
        <w:t>purposes</w:t>
      </w:r>
      <w:r>
        <w:rPr>
          <w:rFonts w:ascii="Georgia" w:hAnsi="Georgia"/>
          <w:sz w:val="24"/>
          <w:szCs w:val="24"/>
        </w:rPr>
        <w:t xml:space="preserve"> and the Report imposes that international law is to prevail over domestic law, should the latter</w:t>
      </w:r>
      <w:r w:rsidRPr="007A1DB8">
        <w:rPr>
          <w:rFonts w:ascii="Georgia" w:hAnsi="Georgia"/>
          <w:sz w:val="24"/>
          <w:szCs w:val="24"/>
        </w:rPr>
        <w:t xml:space="preserve"> allow for a broader use of </w:t>
      </w:r>
      <w:r>
        <w:rPr>
          <w:rFonts w:ascii="Georgia" w:hAnsi="Georgia"/>
          <w:sz w:val="24"/>
          <w:szCs w:val="24"/>
        </w:rPr>
        <w:t>said</w:t>
      </w:r>
      <w:r w:rsidRPr="007A1DB8">
        <w:rPr>
          <w:rFonts w:ascii="Georgia" w:hAnsi="Georgia"/>
          <w:sz w:val="24"/>
          <w:szCs w:val="24"/>
        </w:rPr>
        <w:t xml:space="preserve"> information</w:t>
      </w:r>
      <w:r>
        <w:rPr>
          <w:rFonts w:ascii="Georgia" w:hAnsi="Georgia"/>
          <w:sz w:val="24"/>
          <w:szCs w:val="24"/>
        </w:rPr>
        <w:t xml:space="preserve">. </w:t>
      </w:r>
    </w:p>
    <w:bookmarkEnd w:id="24"/>
    <w:p w14:paraId="68F0AAD5" w14:textId="77777777" w:rsidR="00D11FA8" w:rsidRDefault="00D11FA8" w:rsidP="00D11FA8">
      <w:pPr>
        <w:spacing w:after="0" w:line="360" w:lineRule="auto"/>
        <w:jc w:val="both"/>
        <w:rPr>
          <w:rFonts w:ascii="Georgia" w:hAnsi="Georgia"/>
          <w:sz w:val="24"/>
          <w:szCs w:val="24"/>
        </w:rPr>
      </w:pPr>
      <w:r>
        <w:rPr>
          <w:rFonts w:ascii="Georgia" w:hAnsi="Georgia"/>
          <w:sz w:val="24"/>
          <w:szCs w:val="24"/>
        </w:rPr>
        <w:t xml:space="preserve">Summing up, </w:t>
      </w:r>
      <w:r w:rsidRPr="007A1DB8">
        <w:rPr>
          <w:rFonts w:ascii="Georgia" w:hAnsi="Georgia"/>
          <w:sz w:val="24"/>
          <w:szCs w:val="24"/>
        </w:rPr>
        <w:t>predefined information on the ruling or APA is exchanged</w:t>
      </w:r>
      <w:r>
        <w:rPr>
          <w:rFonts w:ascii="Georgia" w:hAnsi="Georgia"/>
          <w:sz w:val="24"/>
          <w:szCs w:val="24"/>
        </w:rPr>
        <w:t xml:space="preserve">, but </w:t>
      </w:r>
      <w:r w:rsidRPr="007A1DB8">
        <w:rPr>
          <w:rFonts w:ascii="Georgia" w:hAnsi="Georgia"/>
          <w:sz w:val="24"/>
          <w:szCs w:val="24"/>
        </w:rPr>
        <w:t>it is</w:t>
      </w:r>
      <w:r>
        <w:rPr>
          <w:rFonts w:ascii="Georgia" w:hAnsi="Georgia"/>
          <w:sz w:val="24"/>
          <w:szCs w:val="24"/>
        </w:rPr>
        <w:t xml:space="preserve"> </w:t>
      </w:r>
      <w:r w:rsidRPr="007A1DB8">
        <w:rPr>
          <w:rFonts w:ascii="Georgia" w:hAnsi="Georgia"/>
          <w:sz w:val="24"/>
          <w:szCs w:val="24"/>
        </w:rPr>
        <w:t>required</w:t>
      </w:r>
      <w:r>
        <w:rPr>
          <w:rFonts w:ascii="Georgia" w:hAnsi="Georgia"/>
          <w:sz w:val="24"/>
          <w:szCs w:val="24"/>
        </w:rPr>
        <w:t xml:space="preserve"> </w:t>
      </w:r>
      <w:r w:rsidRPr="007A1DB8">
        <w:rPr>
          <w:rFonts w:ascii="Georgia" w:hAnsi="Georgia"/>
          <w:sz w:val="24"/>
          <w:szCs w:val="24"/>
        </w:rPr>
        <w:t>to name the person to whom the ruling was issued as well as other persons</w:t>
      </w:r>
      <w:r>
        <w:rPr>
          <w:rFonts w:ascii="Georgia" w:hAnsi="Georgia"/>
          <w:sz w:val="24"/>
          <w:szCs w:val="24"/>
        </w:rPr>
        <w:t xml:space="preserve"> </w:t>
      </w:r>
      <w:r w:rsidRPr="007A1DB8">
        <w:rPr>
          <w:rFonts w:ascii="Georgia" w:hAnsi="Georgia"/>
          <w:sz w:val="24"/>
          <w:szCs w:val="24"/>
        </w:rPr>
        <w:t>that are likely to be affected by the ruling or AP</w:t>
      </w:r>
      <w:r>
        <w:rPr>
          <w:rFonts w:ascii="Georgia" w:hAnsi="Georgia"/>
          <w:sz w:val="24"/>
          <w:szCs w:val="24"/>
        </w:rPr>
        <w:t xml:space="preserve">A. </w:t>
      </w:r>
      <w:r w:rsidRPr="00D36747">
        <w:rPr>
          <w:rFonts w:ascii="Georgia" w:hAnsi="Georgia"/>
          <w:sz w:val="24"/>
          <w:szCs w:val="24"/>
        </w:rPr>
        <w:t>When a ruling that is subject to exchange not only involves</w:t>
      </w:r>
      <w:r>
        <w:rPr>
          <w:rFonts w:ascii="Georgia" w:hAnsi="Georgia"/>
          <w:sz w:val="24"/>
          <w:szCs w:val="24"/>
        </w:rPr>
        <w:t xml:space="preserve"> </w:t>
      </w:r>
      <w:r w:rsidRPr="00D36747">
        <w:rPr>
          <w:rFonts w:ascii="Georgia" w:hAnsi="Georgia"/>
          <w:sz w:val="24"/>
          <w:szCs w:val="24"/>
        </w:rPr>
        <w:t>legal persons but also concerns tax affairs of individuals, it would have to</w:t>
      </w:r>
      <w:r>
        <w:rPr>
          <w:rFonts w:ascii="Georgia" w:hAnsi="Georgia"/>
          <w:sz w:val="24"/>
          <w:szCs w:val="24"/>
        </w:rPr>
        <w:t xml:space="preserve"> </w:t>
      </w:r>
      <w:r w:rsidRPr="00D36747">
        <w:rPr>
          <w:rFonts w:ascii="Georgia" w:hAnsi="Georgia"/>
          <w:sz w:val="24"/>
          <w:szCs w:val="24"/>
        </w:rPr>
        <w:t xml:space="preserve">be </w:t>
      </w:r>
      <w:proofErr w:type="spellStart"/>
      <w:r w:rsidRPr="00D36747">
        <w:rPr>
          <w:rFonts w:ascii="Georgia" w:hAnsi="Georgia"/>
          <w:sz w:val="24"/>
          <w:szCs w:val="24"/>
        </w:rPr>
        <w:t>analysed</w:t>
      </w:r>
      <w:proofErr w:type="spellEnd"/>
      <w:r w:rsidRPr="00D36747">
        <w:rPr>
          <w:rFonts w:ascii="Georgia" w:hAnsi="Georgia"/>
          <w:sz w:val="24"/>
          <w:szCs w:val="24"/>
        </w:rPr>
        <w:t xml:space="preserve"> on a case-by-case basis whether th</w:t>
      </w:r>
      <w:r>
        <w:rPr>
          <w:rFonts w:ascii="Georgia" w:hAnsi="Georgia"/>
          <w:sz w:val="24"/>
          <w:szCs w:val="24"/>
        </w:rPr>
        <w:t>is</w:t>
      </w:r>
      <w:r w:rsidRPr="00D36747">
        <w:rPr>
          <w:rFonts w:ascii="Georgia" w:hAnsi="Georgia"/>
          <w:sz w:val="24"/>
          <w:szCs w:val="24"/>
        </w:rPr>
        <w:t xml:space="preserve"> </w:t>
      </w:r>
      <w:r>
        <w:rPr>
          <w:rFonts w:ascii="Georgia" w:hAnsi="Georgia"/>
          <w:sz w:val="24"/>
          <w:szCs w:val="24"/>
        </w:rPr>
        <w:t xml:space="preserve">specific </w:t>
      </w:r>
      <w:r w:rsidRPr="00D36747">
        <w:rPr>
          <w:rFonts w:ascii="Georgia" w:hAnsi="Georgia"/>
          <w:sz w:val="24"/>
          <w:szCs w:val="24"/>
        </w:rPr>
        <w:t>information on the</w:t>
      </w:r>
      <w:r>
        <w:rPr>
          <w:rFonts w:ascii="Georgia" w:hAnsi="Georgia"/>
          <w:sz w:val="24"/>
          <w:szCs w:val="24"/>
        </w:rPr>
        <w:t xml:space="preserve"> </w:t>
      </w:r>
      <w:r w:rsidRPr="00D36747">
        <w:rPr>
          <w:rFonts w:ascii="Georgia" w:hAnsi="Georgia"/>
          <w:sz w:val="24"/>
          <w:szCs w:val="24"/>
        </w:rPr>
        <w:t>ruling allows the identification of</w:t>
      </w:r>
      <w:r>
        <w:rPr>
          <w:rFonts w:ascii="Georgia" w:hAnsi="Georgia"/>
          <w:sz w:val="24"/>
          <w:szCs w:val="24"/>
        </w:rPr>
        <w:t xml:space="preserve"> the</w:t>
      </w:r>
      <w:r w:rsidRPr="00D36747">
        <w:rPr>
          <w:rFonts w:ascii="Georgia" w:hAnsi="Georgia"/>
          <w:sz w:val="24"/>
          <w:szCs w:val="24"/>
        </w:rPr>
        <w:t xml:space="preserve"> individuals involved</w:t>
      </w:r>
      <w:r>
        <w:rPr>
          <w:rFonts w:ascii="Georgia" w:hAnsi="Georgia"/>
          <w:sz w:val="24"/>
          <w:szCs w:val="24"/>
        </w:rPr>
        <w:t>.</w:t>
      </w:r>
      <w:r>
        <w:rPr>
          <w:rStyle w:val="Rimandonotaapidipagina"/>
          <w:rFonts w:ascii="Georgia" w:hAnsi="Georgia"/>
          <w:sz w:val="24"/>
          <w:szCs w:val="24"/>
        </w:rPr>
        <w:footnoteReference w:id="22"/>
      </w:r>
    </w:p>
    <w:p w14:paraId="73D69BE5" w14:textId="77777777" w:rsidR="00D11FA8" w:rsidRDefault="00D11FA8" w:rsidP="00D11FA8">
      <w:pPr>
        <w:spacing w:after="0" w:line="360" w:lineRule="auto"/>
        <w:jc w:val="both"/>
        <w:rPr>
          <w:rFonts w:ascii="Georgia" w:hAnsi="Georgia"/>
          <w:sz w:val="24"/>
          <w:szCs w:val="24"/>
        </w:rPr>
      </w:pPr>
      <w:r>
        <w:rPr>
          <w:rFonts w:ascii="Georgia" w:hAnsi="Georgia"/>
          <w:sz w:val="24"/>
          <w:szCs w:val="24"/>
        </w:rPr>
        <w:t xml:space="preserve">Accordingly, possible violation of data protection rules and principles cannot be excluded. </w:t>
      </w:r>
    </w:p>
    <w:p w14:paraId="00000056" w14:textId="77777777" w:rsidR="00956D20" w:rsidRDefault="00956D20">
      <w:pPr>
        <w:spacing w:after="0" w:line="360" w:lineRule="auto"/>
        <w:jc w:val="both"/>
        <w:rPr>
          <w:rFonts w:ascii="Georgia" w:eastAsia="Georgia" w:hAnsi="Georgia" w:cs="Georgia"/>
          <w:sz w:val="24"/>
          <w:szCs w:val="24"/>
        </w:rPr>
      </w:pPr>
    </w:p>
    <w:p w14:paraId="00000057" w14:textId="77777777" w:rsidR="00956D20" w:rsidRDefault="00E90E31" w:rsidP="00E57D41">
      <w:pPr>
        <w:spacing w:after="0" w:line="360" w:lineRule="auto"/>
        <w:jc w:val="both"/>
        <w:outlineLvl w:val="0"/>
        <w:rPr>
          <w:rFonts w:ascii="Georgia" w:eastAsia="Georgia" w:hAnsi="Georgia" w:cs="Georgia"/>
          <w:sz w:val="24"/>
          <w:szCs w:val="24"/>
        </w:rPr>
      </w:pPr>
      <w:bookmarkStart w:id="25" w:name="_Toc62814303"/>
      <w:r>
        <w:rPr>
          <w:rFonts w:ascii="Georgia" w:eastAsia="Georgia" w:hAnsi="Georgia" w:cs="Georgia"/>
          <w:b/>
          <w:sz w:val="24"/>
          <w:szCs w:val="24"/>
        </w:rPr>
        <w:t>5. More in Detail: Technology, Data Collection and Exchange of Information</w:t>
      </w:r>
      <w:bookmarkEnd w:id="25"/>
    </w:p>
    <w:p w14:paraId="00000058" w14:textId="176F7ADF"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 xml:space="preserve">There is probably no area of international tax law that has received more attention and has grown more rapidly in the last years than the </w:t>
      </w:r>
      <w:r w:rsidR="00BB5C98">
        <w:rPr>
          <w:rFonts w:ascii="Georgia" w:eastAsia="Georgia" w:hAnsi="Georgia" w:cs="Georgia"/>
          <w:sz w:val="24"/>
          <w:szCs w:val="24"/>
        </w:rPr>
        <w:t xml:space="preserve">one of information </w:t>
      </w:r>
      <w:r>
        <w:rPr>
          <w:rFonts w:ascii="Georgia" w:eastAsia="Georgia" w:hAnsi="Georgia" w:cs="Georgia"/>
          <w:sz w:val="24"/>
          <w:szCs w:val="24"/>
        </w:rPr>
        <w:t>exchange.</w:t>
      </w:r>
    </w:p>
    <w:p w14:paraId="00000059" w14:textId="4AC6650C"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However, the exchange of information between public authorities creates remarkable issues with reference to the protection of the rights of the taxpayer/citizen,</w:t>
      </w:r>
      <w:r>
        <w:rPr>
          <w:rFonts w:ascii="Georgia" w:eastAsia="Georgia" w:hAnsi="Georgia" w:cs="Georgia"/>
          <w:sz w:val="24"/>
          <w:szCs w:val="24"/>
          <w:vertAlign w:val="superscript"/>
        </w:rPr>
        <w:footnoteReference w:id="23"/>
      </w:r>
      <w:r>
        <w:rPr>
          <w:rFonts w:ascii="Georgia" w:eastAsia="Georgia" w:hAnsi="Georgia" w:cs="Georgia"/>
          <w:sz w:val="24"/>
          <w:szCs w:val="24"/>
        </w:rPr>
        <w:t xml:space="preserve"> especially because the OECD's role as the 'guardian' of relationship of trust between authorities and citizens.</w:t>
      </w:r>
      <w:r>
        <w:rPr>
          <w:rFonts w:ascii="Georgia" w:eastAsia="Georgia" w:hAnsi="Georgia" w:cs="Georgia"/>
          <w:sz w:val="24"/>
          <w:szCs w:val="24"/>
          <w:vertAlign w:val="superscript"/>
        </w:rPr>
        <w:footnoteReference w:id="24"/>
      </w:r>
    </w:p>
    <w:p w14:paraId="0000005A" w14:textId="381F5986"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 xml:space="preserve">The problem of new citizens taxpayers' rights in the age of digitalization is common </w:t>
      </w:r>
      <w:r w:rsidR="00AE464F">
        <w:rPr>
          <w:rFonts w:ascii="Georgia" w:eastAsia="Georgia" w:hAnsi="Georgia" w:cs="Georgia"/>
          <w:sz w:val="24"/>
          <w:szCs w:val="24"/>
        </w:rPr>
        <w:t xml:space="preserve">in </w:t>
      </w:r>
      <w:r>
        <w:rPr>
          <w:rFonts w:ascii="Georgia" w:eastAsia="Georgia" w:hAnsi="Georgia" w:cs="Georgia"/>
          <w:sz w:val="24"/>
          <w:szCs w:val="24"/>
        </w:rPr>
        <w:t>the whole area of public law.</w:t>
      </w:r>
      <w:r>
        <w:rPr>
          <w:rFonts w:ascii="Georgia" w:eastAsia="Georgia" w:hAnsi="Georgia" w:cs="Georgia"/>
          <w:sz w:val="24"/>
          <w:szCs w:val="24"/>
          <w:vertAlign w:val="superscript"/>
        </w:rPr>
        <w:footnoteReference w:id="25"/>
      </w:r>
      <w:r>
        <w:rPr>
          <w:rFonts w:ascii="Georgia" w:eastAsia="Georgia" w:hAnsi="Georgia" w:cs="Georgia"/>
          <w:sz w:val="24"/>
          <w:szCs w:val="24"/>
        </w:rPr>
        <w:t>“</w:t>
      </w:r>
      <w:r>
        <w:rPr>
          <w:rFonts w:ascii="Georgia" w:eastAsia="Georgia" w:hAnsi="Georgia" w:cs="Georgia"/>
          <w:i/>
          <w:sz w:val="24"/>
          <w:szCs w:val="24"/>
        </w:rPr>
        <w:t xml:space="preserve">If access to a considerable amount of data leads inevitably to </w:t>
      </w:r>
      <w:r>
        <w:rPr>
          <w:rFonts w:ascii="Georgia" w:eastAsia="Georgia" w:hAnsi="Georgia" w:cs="Georgia"/>
          <w:i/>
          <w:sz w:val="24"/>
          <w:szCs w:val="24"/>
        </w:rPr>
        <w:lastRenderedPageBreak/>
        <w:t>more information, an information overdose – to indicate that phenomenon resulting from the excess of data– certainly leads to less transparency</w:t>
      </w:r>
      <w:r>
        <w:rPr>
          <w:rFonts w:ascii="Georgia" w:eastAsia="Georgia" w:hAnsi="Georgia" w:cs="Georgia"/>
          <w:sz w:val="24"/>
          <w:szCs w:val="24"/>
        </w:rPr>
        <w:t>”</w:t>
      </w:r>
      <w:r>
        <w:rPr>
          <w:rFonts w:ascii="Georgia" w:eastAsia="Georgia" w:hAnsi="Georgia" w:cs="Georgia"/>
          <w:sz w:val="24"/>
          <w:szCs w:val="24"/>
          <w:vertAlign w:val="superscript"/>
        </w:rPr>
        <w:t xml:space="preserve"> </w:t>
      </w:r>
      <w:r>
        <w:rPr>
          <w:rFonts w:ascii="Georgia" w:eastAsia="Georgia" w:hAnsi="Georgia" w:cs="Georgia"/>
          <w:sz w:val="24"/>
          <w:szCs w:val="24"/>
          <w:vertAlign w:val="superscript"/>
        </w:rPr>
        <w:footnoteReference w:id="26"/>
      </w:r>
      <w:r>
        <w:rPr>
          <w:rFonts w:ascii="Georgia" w:eastAsia="Georgia" w:hAnsi="Georgia" w:cs="Georgia"/>
          <w:sz w:val="24"/>
          <w:szCs w:val="24"/>
        </w:rPr>
        <w:t xml:space="preserve"> and legal certainty.</w:t>
      </w:r>
      <w:r>
        <w:rPr>
          <w:rFonts w:ascii="Georgia" w:eastAsia="Georgia" w:hAnsi="Georgia" w:cs="Georgia"/>
          <w:sz w:val="24"/>
          <w:szCs w:val="24"/>
          <w:vertAlign w:val="superscript"/>
        </w:rPr>
        <w:footnoteReference w:id="27"/>
      </w:r>
    </w:p>
    <w:p w14:paraId="0000005B" w14:textId="25BA2D31"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 xml:space="preserve">Against this backdrop, one of the most relevant issue is the “excessive data collection” (and the different modalities of using them) and, consequently, the related ones of data protection and confidentiality of information: the fact that the protection of taxpayers’ privacy nowadays represents a new and fundamental right of the citizens is generally accepted. </w:t>
      </w:r>
    </w:p>
    <w:p w14:paraId="0000005C" w14:textId="77777777"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In the public sector, both taxpayers and tax administrations have a legal right to expect that information exchanged under exchange of information tools remain confidential.</w:t>
      </w:r>
    </w:p>
    <w:p w14:paraId="0000005D" w14:textId="14307DE3" w:rsidR="00956D20" w:rsidRDefault="004511AC">
      <w:pPr>
        <w:spacing w:after="0" w:line="360" w:lineRule="auto"/>
        <w:jc w:val="both"/>
        <w:rPr>
          <w:rFonts w:ascii="Georgia" w:eastAsia="Georgia" w:hAnsi="Georgia" w:cs="Georgia"/>
          <w:sz w:val="24"/>
          <w:szCs w:val="24"/>
        </w:rPr>
      </w:pPr>
      <w:r>
        <w:rPr>
          <w:rFonts w:ascii="Georgia" w:eastAsia="Georgia" w:hAnsi="Georgia" w:cs="Georgia"/>
          <w:sz w:val="24"/>
          <w:szCs w:val="24"/>
        </w:rPr>
        <w:t>Internationally</w:t>
      </w:r>
      <w:r w:rsidRPr="004511AC">
        <w:t xml:space="preserve"> </w:t>
      </w:r>
      <w:r w:rsidRPr="004511AC">
        <w:rPr>
          <w:rFonts w:ascii="Georgia" w:eastAsia="Georgia" w:hAnsi="Georgia" w:cs="Georgia"/>
          <w:sz w:val="24"/>
          <w:szCs w:val="24"/>
        </w:rPr>
        <w:t>there is no so-called "minimization principle"</w:t>
      </w:r>
      <w:r w:rsidR="00E90E31">
        <w:rPr>
          <w:rFonts w:ascii="Georgia" w:eastAsia="Georgia" w:hAnsi="Georgia" w:cs="Georgia"/>
          <w:sz w:val="24"/>
          <w:szCs w:val="24"/>
        </w:rPr>
        <w:t xml:space="preserve"> according to which personal data shall be “</w:t>
      </w:r>
      <w:r w:rsidR="00E90E31">
        <w:rPr>
          <w:rFonts w:ascii="Georgia" w:eastAsia="Georgia" w:hAnsi="Georgia" w:cs="Georgia"/>
          <w:i/>
          <w:sz w:val="24"/>
          <w:szCs w:val="24"/>
        </w:rPr>
        <w:t>adequate, relevant and limited to what is necessary in relation to the purposes for which they are processed (‘data minimization’)</w:t>
      </w:r>
      <w:r w:rsidR="00E90E31">
        <w:rPr>
          <w:rFonts w:ascii="Georgia" w:eastAsia="Georgia" w:hAnsi="Georgia" w:cs="Georgia"/>
          <w:sz w:val="24"/>
          <w:szCs w:val="24"/>
        </w:rPr>
        <w:t>”.</w:t>
      </w:r>
      <w:r w:rsidR="00E90E31">
        <w:rPr>
          <w:rFonts w:ascii="Georgia" w:eastAsia="Georgia" w:hAnsi="Georgia" w:cs="Georgia"/>
          <w:sz w:val="24"/>
          <w:szCs w:val="24"/>
          <w:vertAlign w:val="superscript"/>
        </w:rPr>
        <w:footnoteReference w:id="28"/>
      </w:r>
    </w:p>
    <w:p w14:paraId="0000005E" w14:textId="5ACDFFF9"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The core of the topic is well represented by the following words: “</w:t>
      </w:r>
      <w:r>
        <w:rPr>
          <w:rFonts w:ascii="Georgia" w:eastAsia="Georgia" w:hAnsi="Georgia" w:cs="Georgia"/>
          <w:i/>
          <w:sz w:val="24"/>
          <w:szCs w:val="24"/>
        </w:rPr>
        <w:t>in order to have confidence in their tax system and comply with their obligations under the law, taxpayers need to have confidence that the often</w:t>
      </w:r>
      <w:r w:rsidR="005F37E5">
        <w:rPr>
          <w:rFonts w:ascii="Georgia" w:eastAsia="Georgia" w:hAnsi="Georgia" w:cs="Georgia"/>
          <w:i/>
          <w:sz w:val="24"/>
          <w:szCs w:val="24"/>
        </w:rPr>
        <w:t xml:space="preserve"> </w:t>
      </w:r>
      <w:r>
        <w:rPr>
          <w:rFonts w:ascii="Georgia" w:eastAsia="Georgia" w:hAnsi="Georgia" w:cs="Georgia"/>
          <w:i/>
          <w:sz w:val="24"/>
          <w:szCs w:val="24"/>
        </w:rPr>
        <w:t>sensitive financial information is not disclosed inappropriately, whether intentionally or by accident</w:t>
      </w:r>
      <w:r>
        <w:rPr>
          <w:rFonts w:ascii="Georgia" w:eastAsia="Georgia" w:hAnsi="Georgia" w:cs="Georgia"/>
          <w:sz w:val="24"/>
          <w:szCs w:val="24"/>
        </w:rPr>
        <w:t>”.</w:t>
      </w:r>
      <w:r>
        <w:rPr>
          <w:rFonts w:ascii="Georgia" w:eastAsia="Georgia" w:hAnsi="Georgia" w:cs="Georgia"/>
          <w:sz w:val="24"/>
          <w:szCs w:val="24"/>
          <w:vertAlign w:val="superscript"/>
        </w:rPr>
        <w:t xml:space="preserve"> </w:t>
      </w:r>
      <w:r>
        <w:rPr>
          <w:rFonts w:ascii="Georgia" w:eastAsia="Georgia" w:hAnsi="Georgia" w:cs="Georgia"/>
          <w:sz w:val="24"/>
          <w:szCs w:val="24"/>
          <w:vertAlign w:val="superscript"/>
        </w:rPr>
        <w:footnoteReference w:id="29"/>
      </w:r>
    </w:p>
    <w:p w14:paraId="0000005F" w14:textId="7F1D5268"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 xml:space="preserve">At the same time, the exchange of information is generally recognized as one of the most effective </w:t>
      </w:r>
      <w:r w:rsidR="00995BB8">
        <w:rPr>
          <w:rFonts w:ascii="Georgia" w:eastAsia="Georgia" w:hAnsi="Georgia" w:cs="Georgia"/>
          <w:sz w:val="24"/>
          <w:szCs w:val="24"/>
        </w:rPr>
        <w:t>tools</w:t>
      </w:r>
      <w:r>
        <w:rPr>
          <w:rFonts w:ascii="Georgia" w:eastAsia="Georgia" w:hAnsi="Georgia" w:cs="Georgia"/>
          <w:sz w:val="24"/>
          <w:szCs w:val="24"/>
        </w:rPr>
        <w:t xml:space="preserve"> to fight international tax evasion and tax avoidance</w:t>
      </w:r>
      <w:r>
        <w:rPr>
          <w:rFonts w:ascii="Georgia" w:eastAsia="Georgia" w:hAnsi="Georgia" w:cs="Georgia"/>
          <w:sz w:val="24"/>
          <w:szCs w:val="24"/>
          <w:vertAlign w:val="superscript"/>
        </w:rPr>
        <w:footnoteReference w:id="30"/>
      </w:r>
      <w:r>
        <w:rPr>
          <w:rFonts w:ascii="Georgia" w:eastAsia="Georgia" w:hAnsi="Georgia" w:cs="Georgia"/>
          <w:sz w:val="24"/>
          <w:szCs w:val="24"/>
        </w:rPr>
        <w:t xml:space="preserve"> (in addition to other phenomena such as money laundering).</w:t>
      </w:r>
      <w:r w:rsidR="007F0B51">
        <w:rPr>
          <w:rFonts w:ascii="Georgia" w:eastAsia="Georgia" w:hAnsi="Georgia" w:cs="Georgia"/>
          <w:sz w:val="24"/>
          <w:szCs w:val="24"/>
        </w:rPr>
        <w:t xml:space="preserve"> </w:t>
      </w:r>
      <w:r w:rsidR="00A67C98">
        <w:rPr>
          <w:rFonts w:ascii="Georgia" w:eastAsia="Georgia" w:hAnsi="Georgia" w:cs="Georgia"/>
          <w:sz w:val="24"/>
          <w:szCs w:val="24"/>
        </w:rPr>
        <w:t xml:space="preserve">The </w:t>
      </w:r>
      <w:r>
        <w:rPr>
          <w:rFonts w:ascii="Georgia" w:eastAsia="Georgia" w:hAnsi="Georgia" w:cs="Georgia"/>
          <w:sz w:val="24"/>
          <w:szCs w:val="24"/>
        </w:rPr>
        <w:t xml:space="preserve">OECD and </w:t>
      </w:r>
      <w:r w:rsidR="00A67C98">
        <w:rPr>
          <w:rFonts w:ascii="Georgia" w:eastAsia="Georgia" w:hAnsi="Georgia" w:cs="Georgia"/>
          <w:sz w:val="24"/>
          <w:szCs w:val="24"/>
        </w:rPr>
        <w:t xml:space="preserve">The </w:t>
      </w:r>
      <w:r>
        <w:rPr>
          <w:rFonts w:ascii="Georgia" w:eastAsia="Georgia" w:hAnsi="Georgia" w:cs="Georgia"/>
          <w:sz w:val="24"/>
          <w:szCs w:val="24"/>
        </w:rPr>
        <w:t>European Union have identified the automatic exchange of information as a worthwhile tool to counter the above-mentioned phenomena, and they started to enforce it (also in a multilateral co-operation perspective).</w:t>
      </w:r>
    </w:p>
    <w:p w14:paraId="00000060" w14:textId="22EF4E9A"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 xml:space="preserve">The exchange of information between tax authorities is ruled by different regulatory sources. Their coordination is not easy because the texts, even though they share the same purposes (transparency and contrast to evasion), have been adopted in absolutely different </w:t>
      </w:r>
      <w:r>
        <w:rPr>
          <w:rFonts w:ascii="Georgia" w:eastAsia="Georgia" w:hAnsi="Georgia" w:cs="Georgia"/>
          <w:sz w:val="24"/>
          <w:szCs w:val="24"/>
        </w:rPr>
        <w:lastRenderedPageBreak/>
        <w:t>“historical” periods and contexts. Moreover, interventions take place at international, European and domestic level.</w:t>
      </w:r>
    </w:p>
    <w:p w14:paraId="00000061" w14:textId="22B11661"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 xml:space="preserve">This section focuses exclusively on the international dimension of </w:t>
      </w:r>
      <w:r w:rsidR="005B2455">
        <w:rPr>
          <w:rFonts w:ascii="Georgia" w:eastAsia="Georgia" w:hAnsi="Georgia" w:cs="Georgia"/>
          <w:sz w:val="24"/>
          <w:szCs w:val="24"/>
        </w:rPr>
        <w:t xml:space="preserve">information </w:t>
      </w:r>
      <w:r>
        <w:rPr>
          <w:rFonts w:ascii="Georgia" w:eastAsia="Georgia" w:hAnsi="Georgia" w:cs="Georgia"/>
          <w:sz w:val="24"/>
          <w:szCs w:val="24"/>
        </w:rPr>
        <w:t xml:space="preserve">exchange by the OECD perspective and the goal is to address the link between tax law and taxpayers’ data </w:t>
      </w:r>
      <w:r w:rsidR="001F6C94">
        <w:rPr>
          <w:rFonts w:ascii="Georgia" w:eastAsia="Georgia" w:hAnsi="Georgia" w:cs="Georgia"/>
          <w:sz w:val="24"/>
          <w:szCs w:val="24"/>
        </w:rPr>
        <w:t xml:space="preserve">protection </w:t>
      </w:r>
      <w:r>
        <w:rPr>
          <w:rFonts w:ascii="Georgia" w:eastAsia="Georgia" w:hAnsi="Georgia" w:cs="Georgia"/>
          <w:sz w:val="24"/>
          <w:szCs w:val="24"/>
        </w:rPr>
        <w:t>and privacy/confidentiality in the light of an on-going process of digitalization. The main problem is that “the rights” and “the law” can’t keep up with the speed of digitalization process</w:t>
      </w:r>
      <w:r>
        <w:rPr>
          <w:rFonts w:ascii="Georgia" w:eastAsia="Georgia" w:hAnsi="Georgia" w:cs="Georgia"/>
          <w:sz w:val="24"/>
          <w:szCs w:val="24"/>
          <w:vertAlign w:val="superscript"/>
        </w:rPr>
        <w:footnoteReference w:id="31"/>
      </w:r>
      <w:r>
        <w:rPr>
          <w:rFonts w:ascii="Georgia" w:eastAsia="Georgia" w:hAnsi="Georgia" w:cs="Georgia"/>
          <w:sz w:val="24"/>
          <w:szCs w:val="24"/>
        </w:rPr>
        <w:t>.</w:t>
      </w:r>
    </w:p>
    <w:p w14:paraId="00000062" w14:textId="6511DB12"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 xml:space="preserve">The continuous and unstoppable digitalization of Tax Authorities makes information </w:t>
      </w:r>
      <w:r w:rsidR="004C4421" w:rsidRPr="004C4421">
        <w:rPr>
          <w:rFonts w:ascii="Georgia" w:eastAsia="Georgia" w:hAnsi="Georgia" w:cs="Georgia"/>
          <w:sz w:val="24"/>
          <w:szCs w:val="24"/>
        </w:rPr>
        <w:t xml:space="preserve">exchange </w:t>
      </w:r>
      <w:r>
        <w:rPr>
          <w:rFonts w:ascii="Georgia" w:eastAsia="Georgia" w:hAnsi="Georgia" w:cs="Georgia"/>
          <w:sz w:val="24"/>
          <w:szCs w:val="24"/>
        </w:rPr>
        <w:t xml:space="preserve">much easier and more “direct”; </w:t>
      </w:r>
      <w:r w:rsidR="004C4421">
        <w:rPr>
          <w:rFonts w:ascii="Georgia" w:eastAsia="Georgia" w:hAnsi="Georgia" w:cs="Georgia"/>
          <w:sz w:val="24"/>
          <w:szCs w:val="24"/>
        </w:rPr>
        <w:t>as a result</w:t>
      </w:r>
      <w:r>
        <w:rPr>
          <w:rFonts w:ascii="Georgia" w:eastAsia="Georgia" w:hAnsi="Georgia" w:cs="Georgia"/>
          <w:sz w:val="24"/>
          <w:szCs w:val="24"/>
        </w:rPr>
        <w:t>, new needs for protection and balance between various interests emerge.</w:t>
      </w:r>
      <w:r>
        <w:rPr>
          <w:rFonts w:ascii="Georgia" w:eastAsia="Georgia" w:hAnsi="Georgia" w:cs="Georgia"/>
          <w:sz w:val="24"/>
          <w:szCs w:val="24"/>
          <w:vertAlign w:val="superscript"/>
        </w:rPr>
        <w:footnoteReference w:id="32"/>
      </w:r>
    </w:p>
    <w:p w14:paraId="00000063" w14:textId="331E72E6"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 xml:space="preserve">Therefore, </w:t>
      </w:r>
      <w:r w:rsidR="00253AEC">
        <w:rPr>
          <w:rFonts w:ascii="Georgia" w:eastAsia="Georgia" w:hAnsi="Georgia" w:cs="Georgia"/>
          <w:sz w:val="24"/>
          <w:szCs w:val="24"/>
        </w:rPr>
        <w:t xml:space="preserve">the </w:t>
      </w:r>
      <w:r>
        <w:rPr>
          <w:rFonts w:ascii="Georgia" w:eastAsia="Georgia" w:hAnsi="Georgia" w:cs="Georgia"/>
          <w:sz w:val="24"/>
          <w:szCs w:val="24"/>
        </w:rPr>
        <w:t>OECD provides suggestions to governments in order to balance the enormous advantages that technology offers to tax authorities in the exchange of information with the trust that citizens must have in their governments: “</w:t>
      </w:r>
      <w:r>
        <w:rPr>
          <w:rFonts w:ascii="Georgia" w:eastAsia="Georgia" w:hAnsi="Georgia" w:cs="Georgia"/>
          <w:i/>
          <w:sz w:val="24"/>
          <w:szCs w:val="24"/>
        </w:rPr>
        <w:t>stronger powers for tax authorities must be combined with a stronger protection of taxpayers’ rights</w:t>
      </w:r>
      <w:r>
        <w:rPr>
          <w:rFonts w:ascii="Georgia" w:eastAsia="Georgia" w:hAnsi="Georgia" w:cs="Georgia"/>
          <w:sz w:val="24"/>
          <w:szCs w:val="24"/>
        </w:rPr>
        <w:t>”.</w:t>
      </w:r>
      <w:r>
        <w:rPr>
          <w:rFonts w:ascii="Georgia" w:eastAsia="Georgia" w:hAnsi="Georgia" w:cs="Georgia"/>
          <w:sz w:val="24"/>
          <w:szCs w:val="24"/>
          <w:vertAlign w:val="superscript"/>
        </w:rPr>
        <w:t xml:space="preserve"> </w:t>
      </w:r>
      <w:r>
        <w:rPr>
          <w:rFonts w:ascii="Georgia" w:eastAsia="Georgia" w:hAnsi="Georgia" w:cs="Georgia"/>
          <w:sz w:val="24"/>
          <w:szCs w:val="24"/>
          <w:vertAlign w:val="superscript"/>
        </w:rPr>
        <w:footnoteReference w:id="33"/>
      </w:r>
    </w:p>
    <w:p w14:paraId="00000064" w14:textId="77777777" w:rsidR="00956D20" w:rsidRDefault="00956D20">
      <w:pPr>
        <w:spacing w:after="0" w:line="360" w:lineRule="auto"/>
        <w:jc w:val="both"/>
        <w:rPr>
          <w:rFonts w:ascii="Georgia" w:eastAsia="Georgia" w:hAnsi="Georgia" w:cs="Georgia"/>
          <w:b/>
          <w:sz w:val="24"/>
          <w:szCs w:val="24"/>
        </w:rPr>
      </w:pPr>
    </w:p>
    <w:p w14:paraId="00000066" w14:textId="2078C0AB" w:rsidR="00956D20" w:rsidRPr="005D0BD8" w:rsidRDefault="00E90E31" w:rsidP="005F37E5">
      <w:pPr>
        <w:spacing w:after="0" w:line="360" w:lineRule="auto"/>
        <w:jc w:val="both"/>
        <w:outlineLvl w:val="0"/>
        <w:rPr>
          <w:rFonts w:ascii="Georgia" w:eastAsia="Georgia" w:hAnsi="Georgia" w:cs="Georgia"/>
          <w:b/>
          <w:sz w:val="24"/>
          <w:szCs w:val="24"/>
        </w:rPr>
      </w:pPr>
      <w:bookmarkStart w:id="26" w:name="_Toc62814304"/>
      <w:r>
        <w:rPr>
          <w:rFonts w:ascii="Georgia" w:eastAsia="Georgia" w:hAnsi="Georgia" w:cs="Georgia"/>
          <w:b/>
          <w:sz w:val="24"/>
          <w:szCs w:val="24"/>
        </w:rPr>
        <w:t xml:space="preserve">5.1. A Brief “Historical </w:t>
      </w:r>
      <w:r>
        <w:rPr>
          <w:rFonts w:ascii="Georgia" w:eastAsia="Georgia" w:hAnsi="Georgia" w:cs="Georgia"/>
          <w:b/>
          <w:i/>
          <w:sz w:val="24"/>
          <w:szCs w:val="24"/>
        </w:rPr>
        <w:t>Excursus”</w:t>
      </w:r>
      <w:r>
        <w:rPr>
          <w:rFonts w:ascii="Georgia" w:eastAsia="Georgia" w:hAnsi="Georgia" w:cs="Georgia"/>
          <w:b/>
          <w:sz w:val="24"/>
          <w:szCs w:val="24"/>
        </w:rPr>
        <w:t xml:space="preserve"> of OECD Reports and Documents</w:t>
      </w:r>
      <w:bookmarkEnd w:id="26"/>
    </w:p>
    <w:p w14:paraId="00000067" w14:textId="35B1AF36"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Since 2000, other international instruments, apart from the OECD Model (2000), have been adopted to broaden and improve the EOI procedures, even switching to an automatic exchange standard.</w:t>
      </w:r>
    </w:p>
    <w:p w14:paraId="00000068" w14:textId="29AB8FA0"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 xml:space="preserve">The </w:t>
      </w:r>
      <w:r w:rsidR="00690BEC">
        <w:rPr>
          <w:rFonts w:ascii="Georgia" w:eastAsia="Georgia" w:hAnsi="Georgia" w:cs="Georgia"/>
          <w:sz w:val="24"/>
          <w:szCs w:val="24"/>
        </w:rPr>
        <w:t xml:space="preserve">issue </w:t>
      </w:r>
      <w:r>
        <w:rPr>
          <w:rFonts w:ascii="Georgia" w:eastAsia="Georgia" w:hAnsi="Georgia" w:cs="Georgia"/>
          <w:sz w:val="24"/>
          <w:szCs w:val="24"/>
        </w:rPr>
        <w:t xml:space="preserve">of </w:t>
      </w:r>
      <w:r w:rsidR="00690BEC">
        <w:rPr>
          <w:rFonts w:ascii="Georgia" w:eastAsia="Georgia" w:hAnsi="Georgia" w:cs="Georgia"/>
          <w:sz w:val="24"/>
          <w:szCs w:val="24"/>
        </w:rPr>
        <w:t xml:space="preserve">privacy protection </w:t>
      </w:r>
      <w:r>
        <w:rPr>
          <w:rFonts w:ascii="Georgia" w:eastAsia="Georgia" w:hAnsi="Georgia" w:cs="Georgia"/>
          <w:sz w:val="24"/>
          <w:szCs w:val="24"/>
        </w:rPr>
        <w:t xml:space="preserve">(in a very broad sense) has always been the subject of specific points in OECD </w:t>
      </w:r>
      <w:r w:rsidR="00C21D05">
        <w:rPr>
          <w:rFonts w:ascii="Georgia" w:eastAsia="Georgia" w:hAnsi="Georgia" w:cs="Georgia"/>
          <w:sz w:val="24"/>
          <w:szCs w:val="24"/>
        </w:rPr>
        <w:t>r</w:t>
      </w:r>
      <w:r>
        <w:rPr>
          <w:rFonts w:ascii="Georgia" w:eastAsia="Georgia" w:hAnsi="Georgia" w:cs="Georgia"/>
          <w:sz w:val="24"/>
          <w:szCs w:val="24"/>
        </w:rPr>
        <w:t xml:space="preserve">eports and, in general, taxpayers’ rights have been discussed and </w:t>
      </w:r>
      <w:r w:rsidR="00FA49DD">
        <w:rPr>
          <w:rFonts w:ascii="Georgia" w:eastAsia="Georgia" w:hAnsi="Georgia" w:cs="Georgia"/>
          <w:sz w:val="24"/>
          <w:szCs w:val="24"/>
        </w:rPr>
        <w:t>addressed</w:t>
      </w:r>
      <w:r>
        <w:rPr>
          <w:rFonts w:ascii="Georgia" w:eastAsia="Georgia" w:hAnsi="Georgia" w:cs="Georgia"/>
          <w:sz w:val="24"/>
          <w:szCs w:val="24"/>
        </w:rPr>
        <w:t xml:space="preserve"> frequently</w:t>
      </w:r>
      <w:r>
        <w:rPr>
          <w:rFonts w:ascii="Georgia" w:eastAsia="Georgia" w:hAnsi="Georgia" w:cs="Georgia"/>
          <w:sz w:val="24"/>
          <w:szCs w:val="24"/>
          <w:vertAlign w:val="superscript"/>
        </w:rPr>
        <w:footnoteReference w:id="34"/>
      </w:r>
      <w:r>
        <w:rPr>
          <w:rFonts w:ascii="Georgia" w:eastAsia="Georgia" w:hAnsi="Georgia" w:cs="Georgia"/>
          <w:sz w:val="24"/>
          <w:szCs w:val="24"/>
        </w:rPr>
        <w:t xml:space="preserve"> </w:t>
      </w:r>
      <w:r w:rsidR="00FA49DD">
        <w:rPr>
          <w:rFonts w:ascii="Georgia" w:eastAsia="Georgia" w:hAnsi="Georgia" w:cs="Georgia"/>
          <w:sz w:val="24"/>
          <w:szCs w:val="24"/>
        </w:rPr>
        <w:t xml:space="preserve">in </w:t>
      </w:r>
      <w:r>
        <w:rPr>
          <w:rFonts w:ascii="Georgia" w:eastAsia="Georgia" w:hAnsi="Georgia" w:cs="Georgia"/>
          <w:sz w:val="24"/>
          <w:szCs w:val="24"/>
        </w:rPr>
        <w:t>the last two decades.</w:t>
      </w:r>
      <w:r>
        <w:rPr>
          <w:rFonts w:ascii="Georgia" w:eastAsia="Georgia" w:hAnsi="Georgia" w:cs="Georgia"/>
          <w:sz w:val="24"/>
          <w:szCs w:val="24"/>
          <w:vertAlign w:val="superscript"/>
        </w:rPr>
        <w:footnoteReference w:id="35"/>
      </w:r>
    </w:p>
    <w:p w14:paraId="00000069" w14:textId="77777777"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Nevertheless, “</w:t>
      </w:r>
      <w:r>
        <w:rPr>
          <w:rFonts w:ascii="Georgia" w:eastAsia="Georgia" w:hAnsi="Georgia" w:cs="Georgia"/>
          <w:i/>
          <w:sz w:val="24"/>
          <w:szCs w:val="24"/>
        </w:rPr>
        <w:t>there is a consensus in academia that recognizes the absence of substantive and procedural rights for taxpayers within the current EOI international framework”.</w:t>
      </w:r>
      <w:r>
        <w:rPr>
          <w:rFonts w:ascii="Georgia" w:eastAsia="Georgia" w:hAnsi="Georgia" w:cs="Georgia"/>
          <w:sz w:val="24"/>
          <w:szCs w:val="24"/>
          <w:vertAlign w:val="superscript"/>
        </w:rPr>
        <w:footnoteReference w:id="36"/>
      </w:r>
    </w:p>
    <w:p w14:paraId="0000006A" w14:textId="3FC83637"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lastRenderedPageBreak/>
        <w:t>One of the most relevant Report in th</w:t>
      </w:r>
      <w:r w:rsidR="0055372D">
        <w:rPr>
          <w:rFonts w:ascii="Georgia" w:eastAsia="Georgia" w:hAnsi="Georgia" w:cs="Georgia"/>
          <w:sz w:val="24"/>
          <w:szCs w:val="24"/>
        </w:rPr>
        <w:t>is</w:t>
      </w:r>
      <w:r>
        <w:rPr>
          <w:rFonts w:ascii="Georgia" w:eastAsia="Georgia" w:hAnsi="Georgia" w:cs="Georgia"/>
          <w:sz w:val="24"/>
          <w:szCs w:val="24"/>
        </w:rPr>
        <w:t xml:space="preserve"> field is the well-known “</w:t>
      </w:r>
      <w:r>
        <w:rPr>
          <w:rFonts w:ascii="Georgia" w:eastAsia="Georgia" w:hAnsi="Georgia" w:cs="Georgia"/>
          <w:i/>
          <w:sz w:val="24"/>
          <w:szCs w:val="24"/>
        </w:rPr>
        <w:t>Note on</w:t>
      </w:r>
      <w:r>
        <w:rPr>
          <w:rFonts w:ascii="Georgia" w:eastAsia="Georgia" w:hAnsi="Georgia" w:cs="Georgia"/>
          <w:sz w:val="24"/>
          <w:szCs w:val="24"/>
        </w:rPr>
        <w:t xml:space="preserve"> </w:t>
      </w:r>
      <w:r>
        <w:rPr>
          <w:rFonts w:ascii="Georgia" w:eastAsia="Georgia" w:hAnsi="Georgia" w:cs="Georgia"/>
          <w:i/>
          <w:sz w:val="24"/>
          <w:szCs w:val="24"/>
        </w:rPr>
        <w:t>Taxpayers’ Rights and Obligations</w:t>
      </w:r>
      <w:r>
        <w:rPr>
          <w:rFonts w:ascii="Georgia" w:eastAsia="Georgia" w:hAnsi="Georgia" w:cs="Georgia"/>
          <w:sz w:val="24"/>
          <w:szCs w:val="24"/>
        </w:rPr>
        <w:t xml:space="preserve">” </w:t>
      </w:r>
      <w:r w:rsidR="009F2AFE">
        <w:rPr>
          <w:rFonts w:ascii="Georgia" w:eastAsia="Georgia" w:hAnsi="Georgia" w:cs="Georgia"/>
          <w:sz w:val="24"/>
          <w:szCs w:val="24"/>
        </w:rPr>
        <w:t>of</w:t>
      </w:r>
      <w:r>
        <w:rPr>
          <w:rFonts w:ascii="Georgia" w:eastAsia="Georgia" w:hAnsi="Georgia" w:cs="Georgia"/>
          <w:sz w:val="24"/>
          <w:szCs w:val="24"/>
        </w:rPr>
        <w:t xml:space="preserve"> 2003</w:t>
      </w:r>
      <w:r w:rsidR="00417F4E">
        <w:rPr>
          <w:rFonts w:ascii="Georgia" w:eastAsia="Georgia" w:hAnsi="Georgia" w:cs="Georgia"/>
          <w:sz w:val="24"/>
          <w:szCs w:val="24"/>
        </w:rPr>
        <w:t>,</w:t>
      </w:r>
      <w:r>
        <w:rPr>
          <w:rFonts w:ascii="Georgia" w:eastAsia="Georgia" w:hAnsi="Georgia" w:cs="Georgia"/>
          <w:sz w:val="24"/>
          <w:szCs w:val="24"/>
        </w:rPr>
        <w:t xml:space="preserve"> which provides both a specific right to privacy and a right to confidentiality and secrecy (see </w:t>
      </w:r>
      <w:r>
        <w:rPr>
          <w:rFonts w:ascii="Georgia" w:eastAsia="Georgia" w:hAnsi="Georgia" w:cs="Georgia"/>
          <w:i/>
          <w:sz w:val="24"/>
          <w:szCs w:val="24"/>
        </w:rPr>
        <w:t>retro</w:t>
      </w:r>
      <w:r>
        <w:rPr>
          <w:rFonts w:ascii="Georgia" w:eastAsia="Georgia" w:hAnsi="Georgia" w:cs="Georgia"/>
          <w:sz w:val="24"/>
          <w:szCs w:val="24"/>
        </w:rPr>
        <w:t>, par. 3).</w:t>
      </w:r>
    </w:p>
    <w:p w14:paraId="0000006B" w14:textId="2A753899"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With reference to information</w:t>
      </w:r>
      <w:r w:rsidR="009F2AFE">
        <w:rPr>
          <w:rFonts w:ascii="Georgia" w:eastAsia="Georgia" w:hAnsi="Georgia" w:cs="Georgia"/>
          <w:sz w:val="24"/>
          <w:szCs w:val="24"/>
        </w:rPr>
        <w:t xml:space="preserve"> exchange</w:t>
      </w:r>
      <w:r>
        <w:rPr>
          <w:rFonts w:ascii="Georgia" w:eastAsia="Georgia" w:hAnsi="Georgia" w:cs="Georgia"/>
          <w:sz w:val="24"/>
          <w:szCs w:val="24"/>
        </w:rPr>
        <w:t xml:space="preserve">, the most relevant changes were implemented in 2012: in fact, if until that date the "confidentiality principle" was </w:t>
      </w:r>
      <w:r w:rsidR="009F2AFE">
        <w:rPr>
          <w:rFonts w:ascii="Georgia" w:eastAsia="Georgia" w:hAnsi="Georgia" w:cs="Georgia"/>
          <w:sz w:val="24"/>
          <w:szCs w:val="24"/>
        </w:rPr>
        <w:t xml:space="preserve">purely </w:t>
      </w:r>
      <w:r>
        <w:rPr>
          <w:rFonts w:ascii="Georgia" w:eastAsia="Georgia" w:hAnsi="Georgia" w:cs="Georgia"/>
          <w:sz w:val="24"/>
          <w:szCs w:val="24"/>
        </w:rPr>
        <w:t xml:space="preserve">optional, </w:t>
      </w:r>
      <w:r w:rsidR="001E28A2" w:rsidRPr="001E28A2">
        <w:rPr>
          <w:rFonts w:ascii="Georgia" w:eastAsia="Georgia" w:hAnsi="Georgia" w:cs="Georgia"/>
          <w:sz w:val="24"/>
          <w:szCs w:val="24"/>
        </w:rPr>
        <w:t>subsequently</w:t>
      </w:r>
      <w:r>
        <w:rPr>
          <w:rFonts w:ascii="Georgia" w:eastAsia="Georgia" w:hAnsi="Georgia" w:cs="Georgia"/>
          <w:sz w:val="24"/>
          <w:szCs w:val="24"/>
        </w:rPr>
        <w:t xml:space="preserve"> it became binding</w:t>
      </w:r>
      <w:r>
        <w:rPr>
          <w:rFonts w:ascii="Georgia" w:eastAsia="Georgia" w:hAnsi="Georgia" w:cs="Georgia"/>
          <w:sz w:val="24"/>
          <w:szCs w:val="24"/>
          <w:vertAlign w:val="superscript"/>
        </w:rPr>
        <w:footnoteReference w:id="37"/>
      </w:r>
      <w:r>
        <w:rPr>
          <w:rFonts w:ascii="Georgia" w:eastAsia="Georgia" w:hAnsi="Georgia" w:cs="Georgia"/>
          <w:sz w:val="24"/>
          <w:szCs w:val="24"/>
        </w:rPr>
        <w:t>. The “</w:t>
      </w:r>
      <w:r w:rsidR="00417F4E">
        <w:rPr>
          <w:rFonts w:ascii="Georgia" w:eastAsia="Georgia" w:hAnsi="Georgia" w:cs="Georgia"/>
          <w:sz w:val="24"/>
          <w:szCs w:val="24"/>
        </w:rPr>
        <w:t>North</w:t>
      </w:r>
      <w:r>
        <w:rPr>
          <w:rFonts w:ascii="Georgia" w:eastAsia="Georgia" w:hAnsi="Georgia" w:cs="Georgia"/>
          <w:sz w:val="24"/>
          <w:szCs w:val="24"/>
        </w:rPr>
        <w:t xml:space="preserve"> </w:t>
      </w:r>
      <w:r w:rsidR="00417F4E">
        <w:rPr>
          <w:rFonts w:ascii="Georgia" w:eastAsia="Georgia" w:hAnsi="Georgia" w:cs="Georgia"/>
          <w:sz w:val="24"/>
          <w:szCs w:val="24"/>
        </w:rPr>
        <w:t>S</w:t>
      </w:r>
      <w:r>
        <w:rPr>
          <w:rFonts w:ascii="Georgia" w:eastAsia="Georgia" w:hAnsi="Georgia" w:cs="Georgia"/>
          <w:sz w:val="24"/>
          <w:szCs w:val="24"/>
        </w:rPr>
        <w:t>tar” is art. 26 (2) of the OECD Model: “</w:t>
      </w:r>
      <w:r>
        <w:rPr>
          <w:rFonts w:ascii="Georgia" w:eastAsia="Georgia" w:hAnsi="Georgia" w:cs="Georgia"/>
          <w:i/>
          <w:sz w:val="24"/>
          <w:szCs w:val="24"/>
        </w:rPr>
        <w:t xml:space="preserve">Notwithstanding the foregoing, information received by a Contracting State may be used for other purposes when such information may be used for such other purposes under the laws of both States and the competent authority of the supplying State </w:t>
      </w:r>
      <w:r w:rsidR="005E4FF1">
        <w:rPr>
          <w:rFonts w:ascii="Georgia" w:eastAsia="Georgia" w:hAnsi="Georgia" w:cs="Georgia"/>
          <w:i/>
          <w:sz w:val="24"/>
          <w:szCs w:val="24"/>
        </w:rPr>
        <w:t>authorizes</w:t>
      </w:r>
      <w:r>
        <w:rPr>
          <w:rFonts w:ascii="Georgia" w:eastAsia="Georgia" w:hAnsi="Georgia" w:cs="Georgia"/>
          <w:i/>
          <w:sz w:val="24"/>
          <w:szCs w:val="24"/>
        </w:rPr>
        <w:t xml:space="preserve"> such use</w:t>
      </w:r>
      <w:r>
        <w:rPr>
          <w:rFonts w:ascii="Georgia" w:eastAsia="Georgia" w:hAnsi="Georgia" w:cs="Georgia"/>
          <w:sz w:val="24"/>
          <w:szCs w:val="24"/>
        </w:rPr>
        <w:t>”</w:t>
      </w:r>
      <w:r>
        <w:rPr>
          <w:rFonts w:ascii="Georgia" w:eastAsia="Georgia" w:hAnsi="Georgia" w:cs="Georgia"/>
          <w:sz w:val="24"/>
          <w:szCs w:val="24"/>
          <w:vertAlign w:val="superscript"/>
        </w:rPr>
        <w:footnoteReference w:id="38"/>
      </w:r>
      <w:r>
        <w:rPr>
          <w:rFonts w:ascii="Georgia" w:eastAsia="Georgia" w:hAnsi="Georgia" w:cs="Georgia"/>
          <w:sz w:val="24"/>
          <w:szCs w:val="24"/>
        </w:rPr>
        <w:t>.  I.e. in the OECD Model Commentary of 2005 the same sentence has been introduced as an optional provision.</w:t>
      </w:r>
    </w:p>
    <w:p w14:paraId="0000006C" w14:textId="6B4FCEB6"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 xml:space="preserve">One of the most relevant documents </w:t>
      </w:r>
      <w:r w:rsidR="005E4FF1">
        <w:rPr>
          <w:rFonts w:ascii="Georgia" w:eastAsia="Georgia" w:hAnsi="Georgia" w:cs="Georgia"/>
          <w:sz w:val="24"/>
          <w:szCs w:val="24"/>
        </w:rPr>
        <w:t>resulting from</w:t>
      </w:r>
      <w:r>
        <w:rPr>
          <w:rFonts w:ascii="Georgia" w:eastAsia="Georgia" w:hAnsi="Georgia" w:cs="Georgia"/>
          <w:sz w:val="24"/>
          <w:szCs w:val="24"/>
        </w:rPr>
        <w:t xml:space="preserve"> this change is a </w:t>
      </w:r>
      <w:r w:rsidR="003830B5">
        <w:rPr>
          <w:rFonts w:ascii="Georgia" w:eastAsia="Georgia" w:hAnsi="Georgia" w:cs="Georgia"/>
          <w:sz w:val="24"/>
          <w:szCs w:val="24"/>
        </w:rPr>
        <w:t xml:space="preserve">2012 </w:t>
      </w:r>
      <w:r>
        <w:rPr>
          <w:rFonts w:ascii="Georgia" w:eastAsia="Georgia" w:hAnsi="Georgia" w:cs="Georgia"/>
          <w:sz w:val="24"/>
          <w:szCs w:val="24"/>
        </w:rPr>
        <w:t>report on the protection of confidentiality of information exchanged for tax purposes.</w:t>
      </w:r>
      <w:r>
        <w:rPr>
          <w:rFonts w:ascii="Georgia" w:eastAsia="Georgia" w:hAnsi="Georgia" w:cs="Georgia"/>
          <w:sz w:val="24"/>
          <w:szCs w:val="24"/>
          <w:vertAlign w:val="superscript"/>
        </w:rPr>
        <w:footnoteReference w:id="39"/>
      </w:r>
    </w:p>
    <w:p w14:paraId="0000006D" w14:textId="77777777"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 xml:space="preserve">The goal of this document is well described in the </w:t>
      </w:r>
      <w:r>
        <w:rPr>
          <w:rFonts w:ascii="Georgia" w:eastAsia="Georgia" w:hAnsi="Georgia" w:cs="Georgia"/>
          <w:i/>
          <w:sz w:val="24"/>
          <w:szCs w:val="24"/>
        </w:rPr>
        <w:t>Introduction</w:t>
      </w:r>
      <w:r>
        <w:rPr>
          <w:rFonts w:ascii="Georgia" w:eastAsia="Georgia" w:hAnsi="Georgia" w:cs="Georgia"/>
          <w:sz w:val="24"/>
          <w:szCs w:val="24"/>
        </w:rPr>
        <w:t>: “</w:t>
      </w:r>
      <w:r>
        <w:rPr>
          <w:rFonts w:ascii="Georgia" w:eastAsia="Georgia" w:hAnsi="Georgia" w:cs="Georgia"/>
          <w:i/>
          <w:sz w:val="24"/>
          <w:szCs w:val="24"/>
        </w:rPr>
        <w:t xml:space="preserve">The report sets out the best practices related to confidentiality and provides practical guidance, including recommendations and a checklist, on how to meet an adequate level of protection while </w:t>
      </w:r>
      <w:proofErr w:type="spellStart"/>
      <w:r>
        <w:rPr>
          <w:rFonts w:ascii="Georgia" w:eastAsia="Georgia" w:hAnsi="Georgia" w:cs="Georgia"/>
          <w:i/>
          <w:sz w:val="24"/>
          <w:szCs w:val="24"/>
        </w:rPr>
        <w:t>recognising</w:t>
      </w:r>
      <w:proofErr w:type="spellEnd"/>
      <w:r>
        <w:rPr>
          <w:rFonts w:ascii="Georgia" w:eastAsia="Georgia" w:hAnsi="Georgia" w:cs="Georgia"/>
          <w:i/>
          <w:sz w:val="24"/>
          <w:szCs w:val="24"/>
        </w:rPr>
        <w:t xml:space="preserve"> that different tax administrations may have different approaches to ensuring that in practice they achieve the level required for the effective protection of confidentiality</w:t>
      </w:r>
      <w:r>
        <w:rPr>
          <w:rFonts w:ascii="Georgia" w:eastAsia="Georgia" w:hAnsi="Georgia" w:cs="Georgia"/>
          <w:sz w:val="24"/>
          <w:szCs w:val="24"/>
        </w:rPr>
        <w:t>”.</w:t>
      </w:r>
    </w:p>
    <w:p w14:paraId="0000006E" w14:textId="77777777"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Such Report provides, particularly, some recommendations to Tax Authorities:</w:t>
      </w:r>
    </w:p>
    <w:p w14:paraId="0000006F" w14:textId="6FBA0AEF" w:rsidR="00956D20" w:rsidRDefault="00E90E31">
      <w:pPr>
        <w:numPr>
          <w:ilvl w:val="0"/>
          <w:numId w:val="1"/>
        </w:numPr>
        <w:spacing w:after="0" w:line="360" w:lineRule="auto"/>
        <w:jc w:val="both"/>
        <w:rPr>
          <w:sz w:val="24"/>
          <w:szCs w:val="24"/>
        </w:rPr>
      </w:pPr>
      <w:r>
        <w:rPr>
          <w:rFonts w:ascii="Georgia" w:eastAsia="Georgia" w:hAnsi="Georgia" w:cs="Georgia"/>
          <w:sz w:val="24"/>
          <w:szCs w:val="24"/>
        </w:rPr>
        <w:t xml:space="preserve"> the tools used for the exchange of information should contain explicit references to the confidentiality of informatio</w:t>
      </w:r>
      <w:r w:rsidR="003830B5">
        <w:rPr>
          <w:rFonts w:ascii="Georgia" w:eastAsia="Georgia" w:hAnsi="Georgia" w:cs="Georgia"/>
          <w:sz w:val="24"/>
          <w:szCs w:val="24"/>
        </w:rPr>
        <w:t>n</w:t>
      </w:r>
      <w:r>
        <w:rPr>
          <w:rFonts w:ascii="Georgia" w:eastAsia="Georgia" w:hAnsi="Georgia" w:cs="Georgia"/>
          <w:sz w:val="24"/>
          <w:szCs w:val="24"/>
        </w:rPr>
        <w:t>;</w:t>
      </w:r>
    </w:p>
    <w:p w14:paraId="00000070" w14:textId="77777777" w:rsidR="00956D20" w:rsidRDefault="00E90E31">
      <w:pPr>
        <w:numPr>
          <w:ilvl w:val="0"/>
          <w:numId w:val="1"/>
        </w:numPr>
        <w:spacing w:after="0" w:line="360" w:lineRule="auto"/>
        <w:jc w:val="both"/>
        <w:rPr>
          <w:sz w:val="24"/>
          <w:szCs w:val="24"/>
        </w:rPr>
      </w:pPr>
      <w:r>
        <w:rPr>
          <w:rFonts w:ascii="Georgia" w:eastAsia="Georgia" w:hAnsi="Georgia" w:cs="Georgia"/>
          <w:sz w:val="24"/>
          <w:szCs w:val="24"/>
        </w:rPr>
        <w:t xml:space="preserve"> that national legislation should contain rules to protect the confidentiality of information exchanged under treaties;</w:t>
      </w:r>
    </w:p>
    <w:p w14:paraId="00000071" w14:textId="4F42658A" w:rsidR="00956D20" w:rsidRDefault="00E90E31">
      <w:pPr>
        <w:numPr>
          <w:ilvl w:val="0"/>
          <w:numId w:val="1"/>
        </w:numPr>
        <w:spacing w:after="0" w:line="360" w:lineRule="auto"/>
        <w:jc w:val="both"/>
        <w:rPr>
          <w:sz w:val="24"/>
          <w:szCs w:val="24"/>
        </w:rPr>
      </w:pPr>
      <w:r>
        <w:rPr>
          <w:rFonts w:ascii="Georgia" w:eastAsia="Georgia" w:hAnsi="Georgia" w:cs="Georgia"/>
          <w:sz w:val="24"/>
          <w:szCs w:val="24"/>
        </w:rPr>
        <w:t>the fact that the "right of access" (to administrative acts) and/or the principle of "freedom of information" present in domestic legislation should not be able to justify the disclosure of this type of informatio</w:t>
      </w:r>
      <w:r w:rsidR="003830B5">
        <w:rPr>
          <w:rFonts w:ascii="Georgia" w:eastAsia="Georgia" w:hAnsi="Georgia" w:cs="Georgia"/>
          <w:sz w:val="24"/>
          <w:szCs w:val="24"/>
        </w:rPr>
        <w:t>n</w:t>
      </w:r>
      <w:r>
        <w:rPr>
          <w:rFonts w:ascii="Georgia" w:eastAsia="Georgia" w:hAnsi="Georgia" w:cs="Georgia"/>
          <w:sz w:val="24"/>
          <w:szCs w:val="24"/>
        </w:rPr>
        <w:t>;</w:t>
      </w:r>
    </w:p>
    <w:p w14:paraId="00000072" w14:textId="0BB9F822" w:rsidR="00956D20" w:rsidRPr="00346B72" w:rsidRDefault="00E90E31" w:rsidP="00346B72">
      <w:pPr>
        <w:numPr>
          <w:ilvl w:val="0"/>
          <w:numId w:val="1"/>
        </w:numPr>
        <w:spacing w:after="0" w:line="360" w:lineRule="auto"/>
        <w:jc w:val="both"/>
        <w:rPr>
          <w:sz w:val="24"/>
          <w:szCs w:val="24"/>
        </w:rPr>
      </w:pPr>
      <w:r>
        <w:rPr>
          <w:rFonts w:ascii="Georgia" w:eastAsia="Georgia" w:hAnsi="Georgia" w:cs="Georgia"/>
          <w:sz w:val="24"/>
          <w:szCs w:val="24"/>
        </w:rPr>
        <w:lastRenderedPageBreak/>
        <w:t>a</w:t>
      </w:r>
      <w:r w:rsidR="003830B5">
        <w:rPr>
          <w:rFonts w:ascii="Georgia" w:eastAsia="Georgia" w:hAnsi="Georgia" w:cs="Georgia"/>
          <w:sz w:val="24"/>
          <w:szCs w:val="24"/>
        </w:rPr>
        <w:t>dequate</w:t>
      </w:r>
      <w:r>
        <w:rPr>
          <w:rFonts w:ascii="Georgia" w:eastAsia="Georgia" w:hAnsi="Georgia" w:cs="Georgia"/>
          <w:sz w:val="24"/>
          <w:szCs w:val="24"/>
        </w:rPr>
        <w:t xml:space="preserve"> sanctions</w:t>
      </w:r>
      <w:r w:rsidR="003830B5">
        <w:rPr>
          <w:rFonts w:ascii="Georgia" w:eastAsia="Georgia" w:hAnsi="Georgia" w:cs="Georgia"/>
          <w:sz w:val="24"/>
          <w:szCs w:val="24"/>
        </w:rPr>
        <w:t xml:space="preserve">, </w:t>
      </w:r>
      <w:r w:rsidR="003830B5" w:rsidRPr="003830B5">
        <w:rPr>
          <w:rFonts w:ascii="Georgia" w:eastAsia="Georgia" w:hAnsi="Georgia" w:cs="Georgia"/>
          <w:sz w:val="24"/>
          <w:szCs w:val="24"/>
        </w:rPr>
        <w:t xml:space="preserve">including </w:t>
      </w:r>
      <w:r w:rsidR="00346B72">
        <w:rPr>
          <w:rFonts w:ascii="Georgia" w:eastAsia="Georgia" w:hAnsi="Georgia" w:cs="Georgia"/>
          <w:sz w:val="24"/>
          <w:szCs w:val="24"/>
        </w:rPr>
        <w:t>dissuasive</w:t>
      </w:r>
      <w:r w:rsidR="003830B5" w:rsidRPr="003830B5">
        <w:rPr>
          <w:rFonts w:ascii="Georgia" w:eastAsia="Georgia" w:hAnsi="Georgia" w:cs="Georgia"/>
          <w:sz w:val="24"/>
          <w:szCs w:val="24"/>
        </w:rPr>
        <w:t xml:space="preserve"> sanctions,</w:t>
      </w:r>
      <w:r w:rsidRPr="00346B72">
        <w:rPr>
          <w:rFonts w:ascii="Georgia" w:eastAsia="Georgia" w:hAnsi="Georgia" w:cs="Georgia"/>
          <w:sz w:val="24"/>
          <w:szCs w:val="24"/>
        </w:rPr>
        <w:t xml:space="preserve"> should be provided </w:t>
      </w:r>
      <w:r w:rsidR="00C555C3">
        <w:rPr>
          <w:rFonts w:ascii="Georgia" w:eastAsia="Georgia" w:hAnsi="Georgia" w:cs="Georgia"/>
          <w:sz w:val="24"/>
          <w:szCs w:val="24"/>
        </w:rPr>
        <w:t xml:space="preserve">for </w:t>
      </w:r>
      <w:r w:rsidRPr="00346B72">
        <w:rPr>
          <w:rFonts w:ascii="Georgia" w:eastAsia="Georgia" w:hAnsi="Georgia" w:cs="Georgia"/>
          <w:sz w:val="24"/>
          <w:szCs w:val="24"/>
        </w:rPr>
        <w:t>in the event of  breach of confidentiality.</w:t>
      </w:r>
    </w:p>
    <w:p w14:paraId="00000073" w14:textId="7870EA31"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 xml:space="preserve">In the 2013 G20, </w:t>
      </w:r>
      <w:r w:rsidR="00AE0E0C">
        <w:rPr>
          <w:rFonts w:ascii="Georgia" w:eastAsia="Georgia" w:hAnsi="Georgia" w:cs="Georgia"/>
          <w:sz w:val="24"/>
          <w:szCs w:val="24"/>
        </w:rPr>
        <w:t xml:space="preserve">the </w:t>
      </w:r>
      <w:r>
        <w:rPr>
          <w:rFonts w:ascii="Georgia" w:eastAsia="Georgia" w:hAnsi="Georgia" w:cs="Georgia"/>
          <w:sz w:val="24"/>
          <w:szCs w:val="24"/>
        </w:rPr>
        <w:t>OECD presented a proposal to improve international tax cooperation and transparency by enhancing the automatic exchange of information balancing different needs. Particularly, the OECD proposal focused on the following goal: “</w:t>
      </w:r>
      <w:r>
        <w:rPr>
          <w:rFonts w:ascii="Georgia" w:eastAsia="Georgia" w:hAnsi="Georgia" w:cs="Georgia"/>
          <w:i/>
          <w:sz w:val="24"/>
          <w:szCs w:val="24"/>
        </w:rPr>
        <w:t>the development of an operational platform. The OECD points out that for automatic exchange of information to function effectively, the right legal and administrative framework needs to be in place to ensure confidentiality and to avoid misuse of the data transmitted. Common reporting and due diligence rules, supported by compatible technology and software, will be developed in the coming months</w:t>
      </w:r>
      <w:r>
        <w:rPr>
          <w:rFonts w:ascii="Georgia" w:eastAsia="Georgia" w:hAnsi="Georgia" w:cs="Georgia"/>
          <w:sz w:val="24"/>
          <w:szCs w:val="24"/>
        </w:rPr>
        <w:t>”</w:t>
      </w:r>
      <w:r>
        <w:rPr>
          <w:rFonts w:ascii="Georgia" w:eastAsia="Georgia" w:hAnsi="Georgia" w:cs="Georgia"/>
          <w:sz w:val="24"/>
          <w:szCs w:val="24"/>
          <w:vertAlign w:val="superscript"/>
        </w:rPr>
        <w:footnoteReference w:id="40"/>
      </w:r>
      <w:r>
        <w:rPr>
          <w:rFonts w:ascii="Georgia" w:eastAsia="Georgia" w:hAnsi="Georgia" w:cs="Georgia"/>
          <w:sz w:val="24"/>
          <w:szCs w:val="24"/>
        </w:rPr>
        <w:t>.</w:t>
      </w:r>
    </w:p>
    <w:p w14:paraId="00000074" w14:textId="1ED562B2"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 xml:space="preserve">The OECD has also stated in the 2019 </w:t>
      </w:r>
      <w:r w:rsidR="00AE0E0C">
        <w:rPr>
          <w:rFonts w:ascii="Georgia" w:eastAsia="Georgia" w:hAnsi="Georgia" w:cs="Georgia"/>
          <w:sz w:val="24"/>
          <w:szCs w:val="24"/>
        </w:rPr>
        <w:t xml:space="preserve">G20 </w:t>
      </w:r>
      <w:r>
        <w:rPr>
          <w:rFonts w:ascii="Georgia" w:eastAsia="Georgia" w:hAnsi="Georgia" w:cs="Georgia"/>
          <w:sz w:val="24"/>
          <w:szCs w:val="24"/>
        </w:rPr>
        <w:t>Report the need to ensure that the exchange of information “</w:t>
      </w:r>
      <w:r>
        <w:rPr>
          <w:rFonts w:ascii="Georgia" w:eastAsia="Georgia" w:hAnsi="Georgia" w:cs="Georgia"/>
          <w:i/>
          <w:sz w:val="24"/>
          <w:szCs w:val="24"/>
        </w:rPr>
        <w:t>meet the expected standards of confidentiality and data safeguards</w:t>
      </w:r>
      <w:r>
        <w:rPr>
          <w:rFonts w:ascii="Georgia" w:eastAsia="Georgia" w:hAnsi="Georgia" w:cs="Georgia"/>
          <w:sz w:val="24"/>
          <w:szCs w:val="24"/>
        </w:rPr>
        <w:t xml:space="preserve">”. </w:t>
      </w:r>
      <w:r>
        <w:rPr>
          <w:rFonts w:ascii="Georgia" w:eastAsia="Georgia" w:hAnsi="Georgia" w:cs="Georgia"/>
          <w:sz w:val="24"/>
          <w:szCs w:val="24"/>
          <w:vertAlign w:val="superscript"/>
        </w:rPr>
        <w:footnoteReference w:id="41"/>
      </w:r>
      <w:r>
        <w:rPr>
          <w:rFonts w:ascii="Georgia" w:eastAsia="Georgia" w:hAnsi="Georgia" w:cs="Georgia"/>
          <w:sz w:val="24"/>
          <w:szCs w:val="24"/>
        </w:rPr>
        <w:t>In addition, the OECD is providing technical assistance to members of the Global Forum on Transparency regarding data safeguards.</w:t>
      </w:r>
    </w:p>
    <w:p w14:paraId="00000075" w14:textId="7B381B1B"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Lastly, this year the OECD has established an Automatic Exchange of Information Peer Review Group (APRG)</w:t>
      </w:r>
      <w:r>
        <w:rPr>
          <w:rFonts w:ascii="Georgia" w:eastAsia="Georgia" w:hAnsi="Georgia" w:cs="Georgia"/>
          <w:sz w:val="24"/>
          <w:szCs w:val="24"/>
          <w:vertAlign w:val="superscript"/>
        </w:rPr>
        <w:footnoteReference w:id="42"/>
      </w:r>
      <w:r>
        <w:rPr>
          <w:rFonts w:ascii="Georgia" w:eastAsia="Georgia" w:hAnsi="Georgia" w:cs="Georgia"/>
          <w:sz w:val="24"/>
          <w:szCs w:val="24"/>
        </w:rPr>
        <w:t xml:space="preserve"> to develop an international standard for the automatic exchange of information </w:t>
      </w:r>
      <w:r w:rsidR="006E01AC" w:rsidRPr="006E01AC">
        <w:rPr>
          <w:rFonts w:ascii="Georgia" w:eastAsia="Georgia" w:hAnsi="Georgia" w:cs="Georgia"/>
          <w:sz w:val="24"/>
          <w:szCs w:val="24"/>
        </w:rPr>
        <w:t xml:space="preserve">on financial account </w:t>
      </w:r>
      <w:r>
        <w:rPr>
          <w:rFonts w:ascii="Georgia" w:eastAsia="Georgia" w:hAnsi="Georgia" w:cs="Georgia"/>
          <w:sz w:val="24"/>
          <w:szCs w:val="24"/>
        </w:rPr>
        <w:t>in tax matters, known as the AEOI Standard with specific reference to the digitalization of Tax authorities.</w:t>
      </w:r>
      <w:r>
        <w:rPr>
          <w:rFonts w:ascii="Georgia" w:eastAsia="Georgia" w:hAnsi="Georgia" w:cs="Georgia"/>
          <w:sz w:val="24"/>
          <w:szCs w:val="24"/>
          <w:vertAlign w:val="superscript"/>
        </w:rPr>
        <w:footnoteReference w:id="43"/>
      </w:r>
    </w:p>
    <w:p w14:paraId="00000076" w14:textId="77777777" w:rsidR="00956D20" w:rsidRDefault="00956D20">
      <w:pPr>
        <w:spacing w:after="0" w:line="360" w:lineRule="auto"/>
        <w:jc w:val="both"/>
        <w:rPr>
          <w:rFonts w:ascii="Georgia" w:eastAsia="Georgia" w:hAnsi="Georgia" w:cs="Georgia"/>
          <w:sz w:val="24"/>
          <w:szCs w:val="24"/>
        </w:rPr>
      </w:pPr>
    </w:p>
    <w:p w14:paraId="00000077" w14:textId="77777777" w:rsidR="00956D20" w:rsidRDefault="00E90E31" w:rsidP="005F37E5">
      <w:pPr>
        <w:spacing w:after="0" w:line="360" w:lineRule="auto"/>
        <w:jc w:val="both"/>
        <w:outlineLvl w:val="0"/>
        <w:rPr>
          <w:rFonts w:ascii="Georgia" w:eastAsia="Georgia" w:hAnsi="Georgia" w:cs="Georgia"/>
          <w:b/>
          <w:sz w:val="24"/>
          <w:szCs w:val="24"/>
        </w:rPr>
      </w:pPr>
      <w:bookmarkStart w:id="27" w:name="_Toc62814305"/>
      <w:r>
        <w:rPr>
          <w:rFonts w:ascii="Georgia" w:eastAsia="Georgia" w:hAnsi="Georgia" w:cs="Georgia"/>
          <w:b/>
          <w:sz w:val="24"/>
          <w:szCs w:val="24"/>
        </w:rPr>
        <w:t>6. Updates by the Global Forum on Transparency and Exchange of Information for Tax Purposes</w:t>
      </w:r>
      <w:bookmarkEnd w:id="27"/>
    </w:p>
    <w:p w14:paraId="00000079" w14:textId="45950288"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The Global Forum on Transparency and Exchange of Information for Tax Purposes (Global Forum)</w:t>
      </w:r>
      <w:r>
        <w:rPr>
          <w:rFonts w:ascii="Georgia" w:eastAsia="Georgia" w:hAnsi="Georgia" w:cs="Georgia"/>
          <w:sz w:val="24"/>
          <w:szCs w:val="24"/>
          <w:vertAlign w:val="superscript"/>
        </w:rPr>
        <w:footnoteReference w:id="44"/>
      </w:r>
      <w:r>
        <w:rPr>
          <w:rFonts w:ascii="Georgia" w:eastAsia="Georgia" w:hAnsi="Georgia" w:cs="Georgia"/>
          <w:sz w:val="24"/>
          <w:szCs w:val="24"/>
          <w:vertAlign w:val="superscript"/>
        </w:rPr>
        <w:t xml:space="preserve"> </w:t>
      </w:r>
      <w:r>
        <w:rPr>
          <w:rFonts w:ascii="Georgia" w:eastAsia="Georgia" w:hAnsi="Georgia" w:cs="Georgia"/>
          <w:sz w:val="24"/>
          <w:szCs w:val="24"/>
        </w:rPr>
        <w:t xml:space="preserve"> has </w:t>
      </w:r>
      <w:r w:rsidR="00A3532C">
        <w:rPr>
          <w:rFonts w:ascii="Georgia" w:eastAsia="Georgia" w:hAnsi="Georgia" w:cs="Georgia"/>
          <w:sz w:val="24"/>
          <w:szCs w:val="24"/>
        </w:rPr>
        <w:t xml:space="preserve">been </w:t>
      </w:r>
      <w:r>
        <w:rPr>
          <w:rFonts w:ascii="Georgia" w:eastAsia="Georgia" w:hAnsi="Georgia" w:cs="Georgia"/>
          <w:sz w:val="24"/>
          <w:szCs w:val="24"/>
        </w:rPr>
        <w:t>work</w:t>
      </w:r>
      <w:r w:rsidR="00A3532C">
        <w:rPr>
          <w:rFonts w:ascii="Georgia" w:eastAsia="Georgia" w:hAnsi="Georgia" w:cs="Georgia"/>
          <w:sz w:val="24"/>
          <w:szCs w:val="24"/>
        </w:rPr>
        <w:t>ing</w:t>
      </w:r>
      <w:r>
        <w:rPr>
          <w:rFonts w:ascii="Georgia" w:eastAsia="Georgia" w:hAnsi="Georgia" w:cs="Georgia"/>
          <w:sz w:val="24"/>
          <w:szCs w:val="24"/>
        </w:rPr>
        <w:t xml:space="preserve"> since 2000 to support its members in implementing the </w:t>
      </w:r>
      <w:r w:rsidR="006D5D32" w:rsidRPr="006D5D32">
        <w:rPr>
          <w:rFonts w:ascii="Georgia" w:eastAsia="Georgia" w:hAnsi="Georgia" w:cs="Georgia"/>
          <w:sz w:val="24"/>
          <w:szCs w:val="24"/>
        </w:rPr>
        <w:t>OECD-developed</w:t>
      </w:r>
      <w:r w:rsidR="006D5D32">
        <w:rPr>
          <w:rFonts w:ascii="Georgia" w:eastAsia="Georgia" w:hAnsi="Georgia" w:cs="Georgia"/>
          <w:sz w:val="24"/>
          <w:szCs w:val="24"/>
        </w:rPr>
        <w:t xml:space="preserve"> </w:t>
      </w:r>
      <w:r>
        <w:rPr>
          <w:rFonts w:ascii="Georgia" w:eastAsia="Georgia" w:hAnsi="Georgia" w:cs="Georgia"/>
          <w:sz w:val="24"/>
          <w:szCs w:val="24"/>
        </w:rPr>
        <w:t>Automatic Exchange of Information Standard (AEOI Standard).</w:t>
      </w:r>
    </w:p>
    <w:p w14:paraId="0000007A" w14:textId="008F0176"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 xml:space="preserve">More in detail, the role of the global forum is to assist countries in the field of the exchange of information to improve good practice standards in confidentiality and data protecting. It </w:t>
      </w:r>
      <w:r>
        <w:rPr>
          <w:rFonts w:ascii="Georgia" w:eastAsia="Georgia" w:hAnsi="Georgia" w:cs="Georgia"/>
          <w:sz w:val="24"/>
          <w:szCs w:val="24"/>
        </w:rPr>
        <w:lastRenderedPageBreak/>
        <w:t xml:space="preserve">provides general guidance on implementing legal and information security management (ISM) frameworks that ensure the confidentiality of taxpayer information, including information exchanged under international agreements (“exchanged information”). The role of the Global Forum was fundamental </w:t>
      </w:r>
      <w:r w:rsidR="0037388E">
        <w:rPr>
          <w:rFonts w:ascii="Georgia" w:eastAsia="Georgia" w:hAnsi="Georgia" w:cs="Georgia"/>
          <w:sz w:val="24"/>
          <w:szCs w:val="24"/>
        </w:rPr>
        <w:t xml:space="preserve">in </w:t>
      </w:r>
      <w:r>
        <w:rPr>
          <w:rFonts w:ascii="Georgia" w:eastAsia="Georgia" w:hAnsi="Georgia" w:cs="Georgia"/>
          <w:sz w:val="24"/>
          <w:szCs w:val="24"/>
        </w:rPr>
        <w:t>transforming the EOI Standard into a universal accepted standard.</w:t>
      </w:r>
      <w:r>
        <w:rPr>
          <w:rFonts w:ascii="Georgia" w:eastAsia="Georgia" w:hAnsi="Georgia" w:cs="Georgia"/>
          <w:sz w:val="24"/>
          <w:szCs w:val="24"/>
          <w:vertAlign w:val="superscript"/>
        </w:rPr>
        <w:footnoteReference w:id="45"/>
      </w:r>
    </w:p>
    <w:p w14:paraId="0000007B" w14:textId="77777777"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 xml:space="preserve">In December 2020 the Global Forum Secretariat has delivered a new </w:t>
      </w:r>
      <w:r>
        <w:rPr>
          <w:rFonts w:ascii="Georgia" w:eastAsia="Georgia" w:hAnsi="Georgia" w:cs="Georgia"/>
          <w:i/>
          <w:sz w:val="24"/>
          <w:szCs w:val="24"/>
        </w:rPr>
        <w:t>Confidentiality and Information Security Management toolkit</w:t>
      </w:r>
      <w:r>
        <w:rPr>
          <w:rFonts w:ascii="Georgia" w:eastAsia="Georgia" w:hAnsi="Georgia" w:cs="Georgia"/>
          <w:sz w:val="24"/>
          <w:szCs w:val="24"/>
        </w:rPr>
        <w:t xml:space="preserve"> to assist in the implementation of the Automatic Exchange of Information Standard. The starting points are the following: </w:t>
      </w:r>
    </w:p>
    <w:p w14:paraId="0000007C" w14:textId="03393D78" w:rsidR="00956D20" w:rsidRDefault="00E90E31">
      <w:pPr>
        <w:numPr>
          <w:ilvl w:val="0"/>
          <w:numId w:val="1"/>
        </w:numPr>
        <w:spacing w:after="0" w:line="360" w:lineRule="auto"/>
        <w:jc w:val="both"/>
        <w:rPr>
          <w:sz w:val="24"/>
          <w:szCs w:val="24"/>
        </w:rPr>
      </w:pPr>
      <w:r>
        <w:rPr>
          <w:rFonts w:ascii="Georgia" w:eastAsia="Georgia" w:hAnsi="Georgia" w:cs="Georgia"/>
          <w:sz w:val="24"/>
          <w:szCs w:val="24"/>
        </w:rPr>
        <w:t xml:space="preserve">Effective mutual assistance in tax matters requires each jurisdiction to be </w:t>
      </w:r>
      <w:r w:rsidR="0038228F">
        <w:rPr>
          <w:rFonts w:ascii="Georgia" w:eastAsia="Georgia" w:hAnsi="Georgia" w:cs="Georgia"/>
          <w:sz w:val="24"/>
          <w:szCs w:val="24"/>
        </w:rPr>
        <w:t>certain</w:t>
      </w:r>
      <w:r>
        <w:rPr>
          <w:rFonts w:ascii="Georgia" w:eastAsia="Georgia" w:hAnsi="Georgia" w:cs="Georgia"/>
          <w:sz w:val="24"/>
          <w:szCs w:val="24"/>
        </w:rPr>
        <w:t xml:space="preserve"> that the other will treat </w:t>
      </w:r>
      <w:r w:rsidR="00D57CC4">
        <w:rPr>
          <w:rFonts w:ascii="Georgia" w:eastAsia="Georgia" w:hAnsi="Georgia" w:cs="Georgia"/>
          <w:sz w:val="24"/>
          <w:szCs w:val="24"/>
        </w:rPr>
        <w:t xml:space="preserve">information </w:t>
      </w:r>
      <w:r w:rsidR="00D57CC4" w:rsidRPr="00D57CC4">
        <w:rPr>
          <w:rFonts w:ascii="Georgia" w:eastAsia="Georgia" w:hAnsi="Georgia" w:cs="Georgia"/>
          <w:sz w:val="24"/>
          <w:szCs w:val="24"/>
        </w:rPr>
        <w:t>obtained in the course of their cooperation with due confidentiality</w:t>
      </w:r>
      <w:r>
        <w:rPr>
          <w:rFonts w:ascii="Georgia" w:eastAsia="Georgia" w:hAnsi="Georgia" w:cs="Georgia"/>
          <w:sz w:val="24"/>
          <w:szCs w:val="24"/>
        </w:rPr>
        <w:t>;</w:t>
      </w:r>
    </w:p>
    <w:p w14:paraId="0000007D" w14:textId="39155A62" w:rsidR="00956D20" w:rsidRDefault="00E96797">
      <w:pPr>
        <w:numPr>
          <w:ilvl w:val="0"/>
          <w:numId w:val="1"/>
        </w:numPr>
        <w:spacing w:after="0" w:line="360" w:lineRule="auto"/>
        <w:jc w:val="both"/>
        <w:rPr>
          <w:sz w:val="24"/>
          <w:szCs w:val="24"/>
        </w:rPr>
      </w:pPr>
      <w:r>
        <w:rPr>
          <w:rFonts w:ascii="Georgia" w:eastAsia="Georgia" w:hAnsi="Georgia" w:cs="Georgia"/>
          <w:sz w:val="24"/>
          <w:szCs w:val="24"/>
        </w:rPr>
        <w:t>The i</w:t>
      </w:r>
      <w:r w:rsidR="00E90E31">
        <w:rPr>
          <w:rFonts w:ascii="Georgia" w:eastAsia="Georgia" w:hAnsi="Georgia" w:cs="Georgia"/>
          <w:sz w:val="24"/>
          <w:szCs w:val="24"/>
        </w:rPr>
        <w:t>nternational exchange agreements therefore contain provisions regarding confidentiality and the obligation for Contracting States, i.e. the exchange partner jurisdictions, to keep exchanged information as secret or confidential, in the same manner as information collected under their domestic laws;</w:t>
      </w:r>
    </w:p>
    <w:p w14:paraId="0000007E" w14:textId="3FEB3949" w:rsidR="00956D20" w:rsidRDefault="00E90E31">
      <w:pPr>
        <w:numPr>
          <w:ilvl w:val="0"/>
          <w:numId w:val="1"/>
        </w:numPr>
        <w:spacing w:after="0" w:line="360" w:lineRule="auto"/>
        <w:jc w:val="both"/>
        <w:rPr>
          <w:sz w:val="24"/>
          <w:szCs w:val="24"/>
        </w:rPr>
      </w:pPr>
      <w:r>
        <w:rPr>
          <w:rFonts w:ascii="Georgia" w:eastAsia="Georgia" w:hAnsi="Georgia" w:cs="Georgia"/>
          <w:sz w:val="24"/>
          <w:szCs w:val="24"/>
        </w:rPr>
        <w:t xml:space="preserve">Exchange partners may suspend exchange of information if appropriate safeguards are not in place, or if there has been a breach of confidentiality and they are not </w:t>
      </w:r>
      <w:r w:rsidR="007D3BF8">
        <w:rPr>
          <w:rFonts w:ascii="Georgia" w:eastAsia="Georgia" w:hAnsi="Georgia" w:cs="Georgia"/>
          <w:sz w:val="24"/>
          <w:szCs w:val="24"/>
        </w:rPr>
        <w:t>convinced</w:t>
      </w:r>
      <w:r>
        <w:rPr>
          <w:rFonts w:ascii="Georgia" w:eastAsia="Georgia" w:hAnsi="Georgia" w:cs="Georgia"/>
          <w:sz w:val="24"/>
          <w:szCs w:val="24"/>
        </w:rPr>
        <w:t xml:space="preserve"> that the situation has been </w:t>
      </w:r>
      <w:r w:rsidR="001F3575">
        <w:rPr>
          <w:rFonts w:ascii="Georgia" w:eastAsia="Georgia" w:hAnsi="Georgia" w:cs="Georgia"/>
          <w:sz w:val="24"/>
          <w:szCs w:val="24"/>
        </w:rPr>
        <w:t xml:space="preserve">properly </w:t>
      </w:r>
      <w:r>
        <w:rPr>
          <w:rFonts w:ascii="Georgia" w:eastAsia="Georgia" w:hAnsi="Georgia" w:cs="Georgia"/>
          <w:sz w:val="24"/>
          <w:szCs w:val="24"/>
        </w:rPr>
        <w:t>resolved;</w:t>
      </w:r>
    </w:p>
    <w:p w14:paraId="0000007F" w14:textId="5A1F18B3" w:rsidR="00956D20" w:rsidRDefault="00E90E31">
      <w:pPr>
        <w:numPr>
          <w:ilvl w:val="0"/>
          <w:numId w:val="1"/>
        </w:numPr>
        <w:spacing w:after="0" w:line="360" w:lineRule="auto"/>
        <w:jc w:val="both"/>
        <w:rPr>
          <w:sz w:val="24"/>
          <w:szCs w:val="24"/>
        </w:rPr>
      </w:pPr>
      <w:r>
        <w:rPr>
          <w:rFonts w:ascii="Georgia" w:eastAsia="Georgia" w:hAnsi="Georgia" w:cs="Georgia"/>
          <w:sz w:val="24"/>
          <w:szCs w:val="24"/>
        </w:rPr>
        <w:t xml:space="preserve">the confidentiality of taxpayer information, including exchanged information, should be protected by a domestic legal framework that is </w:t>
      </w:r>
      <w:r w:rsidR="0097031C">
        <w:rPr>
          <w:rFonts w:ascii="Georgia" w:eastAsia="Georgia" w:hAnsi="Georgia" w:cs="Georgia"/>
          <w:sz w:val="24"/>
          <w:szCs w:val="24"/>
        </w:rPr>
        <w:t>applicable</w:t>
      </w:r>
      <w:r>
        <w:rPr>
          <w:rFonts w:ascii="Georgia" w:eastAsia="Georgia" w:hAnsi="Georgia" w:cs="Georgia"/>
          <w:sz w:val="24"/>
          <w:szCs w:val="24"/>
        </w:rPr>
        <w:t xml:space="preserve">, and </w:t>
      </w:r>
      <w:r w:rsidR="0097031C">
        <w:rPr>
          <w:rFonts w:ascii="Georgia" w:eastAsia="Georgia" w:hAnsi="Georgia" w:cs="Georgia"/>
          <w:sz w:val="24"/>
          <w:szCs w:val="24"/>
        </w:rPr>
        <w:t>which</w:t>
      </w:r>
      <w:r>
        <w:rPr>
          <w:rFonts w:ascii="Georgia" w:eastAsia="Georgia" w:hAnsi="Georgia" w:cs="Georgia"/>
          <w:sz w:val="24"/>
          <w:szCs w:val="24"/>
        </w:rPr>
        <w:t xml:space="preserve"> under</w:t>
      </w:r>
      <w:r w:rsidR="0097031C">
        <w:rPr>
          <w:rFonts w:ascii="Georgia" w:eastAsia="Georgia" w:hAnsi="Georgia" w:cs="Georgia"/>
          <w:sz w:val="24"/>
          <w:szCs w:val="24"/>
        </w:rPr>
        <w:t>lines</w:t>
      </w:r>
      <w:r>
        <w:rPr>
          <w:rFonts w:ascii="Georgia" w:eastAsia="Georgia" w:hAnsi="Georgia" w:cs="Georgia"/>
          <w:sz w:val="24"/>
          <w:szCs w:val="24"/>
        </w:rPr>
        <w:t xml:space="preserve"> jurisdictions’ practical measures to ensure confidentiality. </w:t>
      </w:r>
    </w:p>
    <w:p w14:paraId="00000080" w14:textId="5BAF9D89"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 xml:space="preserve">This document provides, in particular, a series of technical indications </w:t>
      </w:r>
      <w:r w:rsidR="005200CD" w:rsidRPr="005200CD">
        <w:rPr>
          <w:rFonts w:ascii="Georgia" w:eastAsia="Georgia" w:hAnsi="Georgia" w:cs="Georgia"/>
          <w:sz w:val="24"/>
          <w:szCs w:val="24"/>
        </w:rPr>
        <w:t>or the management</w:t>
      </w:r>
      <w:r w:rsidR="005200CD" w:rsidRPr="005200CD" w:rsidDel="005200CD">
        <w:rPr>
          <w:rFonts w:ascii="Georgia" w:eastAsia="Georgia" w:hAnsi="Georgia" w:cs="Georgia"/>
          <w:sz w:val="24"/>
          <w:szCs w:val="24"/>
        </w:rPr>
        <w:t xml:space="preserve"> </w:t>
      </w:r>
      <w:r>
        <w:rPr>
          <w:rFonts w:ascii="Georgia" w:eastAsia="Georgia" w:hAnsi="Georgia" w:cs="Georgia"/>
          <w:sz w:val="24"/>
          <w:szCs w:val="24"/>
        </w:rPr>
        <w:t xml:space="preserve"> </w:t>
      </w:r>
      <w:r w:rsidR="005200CD">
        <w:rPr>
          <w:rFonts w:ascii="Georgia" w:eastAsia="Georgia" w:hAnsi="Georgia" w:cs="Georgia"/>
          <w:sz w:val="24"/>
          <w:szCs w:val="24"/>
        </w:rPr>
        <w:t xml:space="preserve">of </w:t>
      </w:r>
      <w:r>
        <w:rPr>
          <w:rFonts w:ascii="Georgia" w:eastAsia="Georgia" w:hAnsi="Georgia" w:cs="Georgia"/>
          <w:sz w:val="24"/>
          <w:szCs w:val="24"/>
        </w:rPr>
        <w:t>technological tools. The goal is to guarantee taxpayer</w:t>
      </w:r>
      <w:r w:rsidR="00690D27">
        <w:rPr>
          <w:rFonts w:ascii="Georgia" w:eastAsia="Georgia" w:hAnsi="Georgia" w:cs="Georgia"/>
          <w:sz w:val="24"/>
          <w:szCs w:val="24"/>
        </w:rPr>
        <w:t xml:space="preserve"> </w:t>
      </w:r>
      <w:r>
        <w:rPr>
          <w:rFonts w:ascii="Georgia" w:eastAsia="Georgia" w:hAnsi="Georgia" w:cs="Georgia"/>
          <w:sz w:val="24"/>
          <w:szCs w:val="24"/>
        </w:rPr>
        <w:t xml:space="preserve">privacy and confidentiality during </w:t>
      </w:r>
      <w:r w:rsidR="00690D27">
        <w:rPr>
          <w:rFonts w:ascii="Georgia" w:eastAsia="Georgia" w:hAnsi="Georgia" w:cs="Georgia"/>
          <w:sz w:val="24"/>
          <w:szCs w:val="24"/>
        </w:rPr>
        <w:t xml:space="preserve">the </w:t>
      </w:r>
      <w:r>
        <w:rPr>
          <w:rFonts w:ascii="Georgia" w:eastAsia="Georgia" w:hAnsi="Georgia" w:cs="Georgia"/>
          <w:sz w:val="24"/>
          <w:szCs w:val="24"/>
        </w:rPr>
        <w:t>information exchange procedures. For example, a “lifecycle controls”</w:t>
      </w:r>
      <w:r w:rsidR="005B4AA9">
        <w:rPr>
          <w:rFonts w:ascii="Georgia" w:eastAsia="Georgia" w:hAnsi="Georgia" w:cs="Georgia"/>
          <w:sz w:val="24"/>
          <w:szCs w:val="24"/>
        </w:rPr>
        <w:t xml:space="preserve"> is provided</w:t>
      </w:r>
      <w:r>
        <w:rPr>
          <w:rFonts w:ascii="Georgia" w:eastAsia="Georgia" w:hAnsi="Georgia" w:cs="Georgia"/>
          <w:sz w:val="24"/>
          <w:szCs w:val="24"/>
        </w:rPr>
        <w:t xml:space="preserve"> for information exchanged under AEOI.</w:t>
      </w:r>
    </w:p>
    <w:p w14:paraId="00000081" w14:textId="6FA9C7ED" w:rsidR="00956D20" w:rsidRDefault="00E90E31">
      <w:pPr>
        <w:spacing w:after="0" w:line="360" w:lineRule="auto"/>
        <w:jc w:val="both"/>
        <w:rPr>
          <w:rFonts w:ascii="Georgia" w:eastAsia="Georgia" w:hAnsi="Georgia" w:cs="Georgia"/>
          <w:sz w:val="24"/>
          <w:szCs w:val="24"/>
        </w:rPr>
      </w:pPr>
      <w:r>
        <w:rPr>
          <w:rFonts w:ascii="Georgia" w:eastAsia="Georgia" w:hAnsi="Georgia" w:cs="Georgia"/>
          <w:sz w:val="24"/>
          <w:szCs w:val="24"/>
        </w:rPr>
        <w:t>Specific points are d</w:t>
      </w:r>
      <w:r w:rsidR="000301A8">
        <w:rPr>
          <w:rFonts w:ascii="Georgia" w:eastAsia="Georgia" w:hAnsi="Georgia" w:cs="Georgia"/>
          <w:sz w:val="24"/>
          <w:szCs w:val="24"/>
        </w:rPr>
        <w:t>edi</w:t>
      </w:r>
      <w:r w:rsidR="00602043">
        <w:rPr>
          <w:rFonts w:ascii="Georgia" w:eastAsia="Georgia" w:hAnsi="Georgia" w:cs="Georgia"/>
          <w:sz w:val="24"/>
          <w:szCs w:val="24"/>
        </w:rPr>
        <w:t>cated</w:t>
      </w:r>
      <w:r>
        <w:rPr>
          <w:rFonts w:ascii="Georgia" w:eastAsia="Georgia" w:hAnsi="Georgia" w:cs="Georgia"/>
          <w:sz w:val="24"/>
          <w:szCs w:val="24"/>
        </w:rPr>
        <w:t xml:space="preserve"> to the “protection of information”</w:t>
      </w:r>
      <w:r w:rsidR="00C21D05">
        <w:rPr>
          <w:rFonts w:ascii="Georgia" w:eastAsia="Georgia" w:hAnsi="Georgia" w:cs="Georgia"/>
          <w:sz w:val="24"/>
          <w:szCs w:val="24"/>
        </w:rPr>
        <w:t xml:space="preserve"> </w:t>
      </w:r>
      <w:r>
        <w:rPr>
          <w:rFonts w:ascii="Georgia" w:eastAsia="Georgia" w:hAnsi="Georgia" w:cs="Georgia"/>
          <w:sz w:val="24"/>
          <w:szCs w:val="24"/>
        </w:rPr>
        <w:t>(“</w:t>
      </w:r>
      <w:r>
        <w:rPr>
          <w:rFonts w:ascii="Georgia" w:eastAsia="Georgia" w:hAnsi="Georgia" w:cs="Georgia"/>
          <w:i/>
          <w:sz w:val="24"/>
          <w:szCs w:val="24"/>
        </w:rPr>
        <w:t>Protection of information is about protecting the different types of paper and digital information handled by tax administrations, whether at rest, in use, or moving between work environments and locations, with controls commensurate to its sensitivity and confidentiality classification</w:t>
      </w:r>
      <w:r>
        <w:rPr>
          <w:rFonts w:ascii="Georgia" w:eastAsia="Georgia" w:hAnsi="Georgia" w:cs="Georgia"/>
          <w:sz w:val="24"/>
          <w:szCs w:val="24"/>
        </w:rPr>
        <w:t>”) and to “secure perimeter” (“</w:t>
      </w:r>
      <w:r>
        <w:rPr>
          <w:rFonts w:ascii="Georgia" w:eastAsia="Georgia" w:hAnsi="Georgia" w:cs="Georgia"/>
          <w:i/>
          <w:sz w:val="24"/>
          <w:szCs w:val="24"/>
        </w:rPr>
        <w:t xml:space="preserve">A secure perimeter refers to a highly secure physical and/or virtual environment within a tax administration (and therefore adequately protected in line with relevant standards), that would enable jurisdictions to receive, keep safe, and </w:t>
      </w:r>
      <w:r>
        <w:rPr>
          <w:rFonts w:ascii="Georgia" w:eastAsia="Georgia" w:hAnsi="Georgia" w:cs="Georgia"/>
          <w:i/>
          <w:sz w:val="24"/>
          <w:szCs w:val="24"/>
        </w:rPr>
        <w:lastRenderedPageBreak/>
        <w:t xml:space="preserve">handle information exchanged automatically, spontaneously or request whilst longer term efforts are made to implement international ISM standards </w:t>
      </w:r>
      <w:r>
        <w:rPr>
          <w:rFonts w:ascii="Georgia" w:eastAsia="Georgia" w:hAnsi="Georgia" w:cs="Georgia"/>
          <w:sz w:val="24"/>
          <w:szCs w:val="24"/>
        </w:rPr>
        <w:t>across the whole tax administration”.</w:t>
      </w:r>
    </w:p>
    <w:p w14:paraId="4AA1E8C0" w14:textId="18D804CD" w:rsidR="00E57D41" w:rsidRDefault="00E90E31">
      <w:pPr>
        <w:spacing w:after="0" w:line="360" w:lineRule="auto"/>
        <w:jc w:val="both"/>
        <w:rPr>
          <w:rFonts w:ascii="Georgia" w:eastAsia="Georgia" w:hAnsi="Georgia" w:cs="Georgia"/>
          <w:i/>
          <w:sz w:val="24"/>
          <w:szCs w:val="24"/>
        </w:rPr>
      </w:pPr>
      <w:r>
        <w:rPr>
          <w:rFonts w:ascii="Georgia" w:eastAsia="Georgia" w:hAnsi="Georgia" w:cs="Georgia"/>
          <w:sz w:val="24"/>
          <w:szCs w:val="24"/>
        </w:rPr>
        <w:t xml:space="preserve">Lastly, there a specific section with reference to the “Protection of exchanged information”: in this section OECD states the best practices </w:t>
      </w:r>
      <w:r>
        <w:rPr>
          <w:rFonts w:ascii="Georgia" w:eastAsia="Georgia" w:hAnsi="Georgia" w:cs="Georgia"/>
          <w:i/>
          <w:sz w:val="24"/>
          <w:szCs w:val="24"/>
        </w:rPr>
        <w:t>“about measures to give effect in practice to the confidentiality and appropriate use provisions contained in international exchange agreements</w:t>
      </w:r>
      <w:r>
        <w:rPr>
          <w:rFonts w:ascii="Georgia" w:eastAsia="Georgia" w:hAnsi="Georgia" w:cs="Georgia"/>
          <w:sz w:val="24"/>
          <w:szCs w:val="24"/>
        </w:rPr>
        <w:t>” (for example “</w:t>
      </w:r>
      <w:r>
        <w:rPr>
          <w:rFonts w:ascii="Georgia" w:eastAsia="Georgia" w:hAnsi="Georgia" w:cs="Georgia"/>
          <w:i/>
          <w:sz w:val="24"/>
          <w:szCs w:val="24"/>
        </w:rPr>
        <w:t>Electronic transmission, whether on request or automatic, should be always secured with an appropriate level of encryption</w:t>
      </w:r>
      <w:r w:rsidR="005F37E5">
        <w:rPr>
          <w:rFonts w:ascii="Georgia" w:eastAsia="Georgia" w:hAnsi="Georgia" w:cs="Georgia"/>
          <w:i/>
          <w:sz w:val="24"/>
          <w:szCs w:val="24"/>
        </w:rPr>
        <w:t>”.</w:t>
      </w:r>
    </w:p>
    <w:p w14:paraId="323CE2B9" w14:textId="77777777" w:rsidR="00250C6E" w:rsidRDefault="00250C6E">
      <w:pPr>
        <w:spacing w:after="0" w:line="360" w:lineRule="auto"/>
        <w:jc w:val="both"/>
        <w:rPr>
          <w:rFonts w:ascii="Georgia" w:eastAsia="Georgia" w:hAnsi="Georgia" w:cs="Georgia"/>
          <w:i/>
          <w:sz w:val="24"/>
          <w:szCs w:val="24"/>
        </w:rPr>
      </w:pPr>
    </w:p>
    <w:p w14:paraId="70B33A67" w14:textId="1F2D73FA" w:rsidR="00E57D41" w:rsidRPr="00E57D41" w:rsidRDefault="00E57D41" w:rsidP="00E57D41">
      <w:pPr>
        <w:jc w:val="both"/>
        <w:outlineLvl w:val="0"/>
        <w:rPr>
          <w:rFonts w:ascii="Georgia" w:hAnsi="Georgia"/>
          <w:b/>
          <w:bCs/>
          <w:sz w:val="24"/>
          <w:szCs w:val="24"/>
        </w:rPr>
      </w:pPr>
      <w:bookmarkStart w:id="28" w:name="_Toc62814306"/>
      <w:r>
        <w:rPr>
          <w:rFonts w:ascii="Georgia" w:hAnsi="Georgia"/>
          <w:b/>
          <w:bCs/>
          <w:sz w:val="24"/>
          <w:szCs w:val="24"/>
        </w:rPr>
        <w:t xml:space="preserve">7. </w:t>
      </w:r>
      <w:r w:rsidRPr="00E57D41">
        <w:rPr>
          <w:rFonts w:ascii="Georgia" w:hAnsi="Georgia"/>
          <w:b/>
          <w:bCs/>
          <w:sz w:val="24"/>
          <w:szCs w:val="24"/>
        </w:rPr>
        <w:t>Final Remarks</w:t>
      </w:r>
      <w:bookmarkEnd w:id="28"/>
    </w:p>
    <w:p w14:paraId="26D462AD" w14:textId="77777777"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The study of OECD contributions to support the digital transformation of the relationship between tax authorities and taxpayers has confirmed a widespread and dating back feeling.</w:t>
      </w:r>
    </w:p>
    <w:p w14:paraId="3CDA57FF" w14:textId="77777777"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The digital transformation is often conceived as an alibi to circumvent the limits set by law to the exercise of the powers of tax authorities.</w:t>
      </w:r>
    </w:p>
    <w:p w14:paraId="1F6EA09D" w14:textId="77777777"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 xml:space="preserve">Conversely, the digital transformation of the control activity in tax matters cannot escape the traditional limits related to the normal powers of the tax authorities, such as: - the principle of legality; - the principle of impartiality; - the principle of proportionality; - the </w:t>
      </w:r>
      <w:r>
        <w:rPr>
          <w:rFonts w:ascii="Georgia" w:hAnsi="Georgia"/>
          <w:sz w:val="24"/>
          <w:szCs w:val="24"/>
        </w:rPr>
        <w:t>right to be heard</w:t>
      </w:r>
      <w:r w:rsidRPr="001B6AE9">
        <w:rPr>
          <w:rFonts w:ascii="Georgia" w:hAnsi="Georgia"/>
          <w:sz w:val="24"/>
          <w:szCs w:val="24"/>
        </w:rPr>
        <w:t xml:space="preserve"> etc.</w:t>
      </w:r>
    </w:p>
    <w:p w14:paraId="72146BBE" w14:textId="77777777"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Limits to the powers of tax authorities and taxpayers' guarantees must be taken over, modernized and adapted to the ongoing digital transformation.</w:t>
      </w:r>
    </w:p>
    <w:p w14:paraId="14764785" w14:textId="740EAA5E"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 xml:space="preserve">The </w:t>
      </w:r>
      <w:r>
        <w:rPr>
          <w:rFonts w:ascii="Georgia" w:hAnsi="Georgia"/>
          <w:sz w:val="24"/>
          <w:szCs w:val="24"/>
        </w:rPr>
        <w:t>“</w:t>
      </w:r>
      <w:r w:rsidRPr="001B6AE9">
        <w:rPr>
          <w:rFonts w:ascii="Georgia" w:hAnsi="Georgia"/>
          <w:sz w:val="24"/>
          <w:szCs w:val="24"/>
        </w:rPr>
        <w:t>acquis</w:t>
      </w:r>
      <w:r>
        <w:rPr>
          <w:rFonts w:ascii="Georgia" w:hAnsi="Georgia"/>
          <w:sz w:val="24"/>
          <w:szCs w:val="24"/>
        </w:rPr>
        <w:t>”</w:t>
      </w:r>
      <w:r w:rsidRPr="001B6AE9">
        <w:rPr>
          <w:rFonts w:ascii="Georgia" w:hAnsi="Georgia"/>
          <w:sz w:val="24"/>
          <w:szCs w:val="24"/>
        </w:rPr>
        <w:t xml:space="preserve"> of the rule of law cannot be </w:t>
      </w:r>
      <w:r>
        <w:rPr>
          <w:rFonts w:ascii="Georgia" w:hAnsi="Georgia"/>
          <w:sz w:val="24"/>
          <w:szCs w:val="24"/>
        </w:rPr>
        <w:t>overwhelmed</w:t>
      </w:r>
      <w:r w:rsidRPr="001B6AE9">
        <w:rPr>
          <w:rFonts w:ascii="Georgia" w:hAnsi="Georgia"/>
          <w:sz w:val="24"/>
          <w:szCs w:val="24"/>
        </w:rPr>
        <w:t xml:space="preserve"> by digital transformation</w:t>
      </w:r>
      <w:r>
        <w:rPr>
          <w:rFonts w:ascii="Georgia" w:hAnsi="Georgia"/>
          <w:sz w:val="24"/>
          <w:szCs w:val="24"/>
        </w:rPr>
        <w:t>.</w:t>
      </w:r>
      <w:r>
        <w:rPr>
          <w:rStyle w:val="Rimandonotaapidipagina"/>
          <w:rFonts w:ascii="Georgia" w:hAnsi="Georgia"/>
          <w:sz w:val="24"/>
          <w:szCs w:val="24"/>
        </w:rPr>
        <w:footnoteReference w:id="46"/>
      </w:r>
    </w:p>
    <w:p w14:paraId="18A27796" w14:textId="77777777"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Indeed, as the digital transformation takes shape, greatly strengthening the powers of tax authorities, the system of taxpayers' guarantees must be modernized and proportionally strengthened.</w:t>
      </w:r>
    </w:p>
    <w:p w14:paraId="2BD266CC" w14:textId="77777777"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It can be noted that three phases are conceivable for the digital transformation of tax</w:t>
      </w:r>
      <w:r>
        <w:rPr>
          <w:rFonts w:ascii="Georgia" w:hAnsi="Georgia"/>
          <w:sz w:val="24"/>
          <w:szCs w:val="24"/>
        </w:rPr>
        <w:t xml:space="preserve"> authorities </w:t>
      </w:r>
      <w:r w:rsidRPr="001B6AE9">
        <w:rPr>
          <w:rFonts w:ascii="Georgia" w:hAnsi="Georgia"/>
          <w:sz w:val="24"/>
          <w:szCs w:val="24"/>
        </w:rPr>
        <w:t>- taxpayer relations:</w:t>
      </w:r>
    </w:p>
    <w:p w14:paraId="41BE6784" w14:textId="77777777" w:rsidR="00E57D41" w:rsidRPr="001B6AE9" w:rsidRDefault="00E57D41" w:rsidP="00E57D41">
      <w:pPr>
        <w:numPr>
          <w:ilvl w:val="0"/>
          <w:numId w:val="3"/>
        </w:numPr>
        <w:spacing w:after="0" w:line="360" w:lineRule="auto"/>
        <w:jc w:val="both"/>
        <w:rPr>
          <w:rFonts w:ascii="Georgia" w:hAnsi="Georgia"/>
          <w:sz w:val="24"/>
          <w:szCs w:val="24"/>
        </w:rPr>
      </w:pPr>
      <w:r w:rsidRPr="001B6AE9">
        <w:rPr>
          <w:rFonts w:ascii="Georgia" w:hAnsi="Georgia"/>
          <w:sz w:val="24"/>
          <w:szCs w:val="24"/>
        </w:rPr>
        <w:t xml:space="preserve">debut of big data and information technologies: a first phase of </w:t>
      </w:r>
      <w:r w:rsidRPr="001B6AE9">
        <w:rPr>
          <w:rFonts w:ascii="Georgia" w:hAnsi="Georgia"/>
          <w:i/>
          <w:iCs/>
          <w:sz w:val="24"/>
          <w:szCs w:val="24"/>
        </w:rPr>
        <w:t>de facto</w:t>
      </w:r>
      <w:r w:rsidRPr="001B6AE9">
        <w:rPr>
          <w:rFonts w:ascii="Georgia" w:hAnsi="Georgia"/>
          <w:sz w:val="24"/>
          <w:szCs w:val="24"/>
        </w:rPr>
        <w:t xml:space="preserve"> transformation in which big data and information technologies, with unchanged </w:t>
      </w:r>
      <w:r w:rsidRPr="001B6AE9">
        <w:rPr>
          <w:rFonts w:ascii="Georgia" w:hAnsi="Georgia"/>
          <w:sz w:val="24"/>
          <w:szCs w:val="24"/>
        </w:rPr>
        <w:lastRenderedPageBreak/>
        <w:t>regulations, are actually used by tax authorities (until 2010/2015), without however having a (significant and relevant) impact on external relations between authorities and taxpayers;</w:t>
      </w:r>
    </w:p>
    <w:p w14:paraId="409610C3" w14:textId="77777777" w:rsidR="00E57D41" w:rsidRPr="001B6AE9" w:rsidRDefault="00E57D41" w:rsidP="00E57D41">
      <w:pPr>
        <w:numPr>
          <w:ilvl w:val="0"/>
          <w:numId w:val="3"/>
        </w:numPr>
        <w:spacing w:after="0" w:line="360" w:lineRule="auto"/>
        <w:jc w:val="both"/>
        <w:rPr>
          <w:rFonts w:ascii="Georgia" w:hAnsi="Georgia"/>
          <w:sz w:val="24"/>
          <w:szCs w:val="24"/>
        </w:rPr>
      </w:pPr>
      <w:r w:rsidRPr="001B6AE9">
        <w:rPr>
          <w:rFonts w:ascii="Georgia" w:hAnsi="Georgia"/>
          <w:sz w:val="24"/>
          <w:szCs w:val="24"/>
        </w:rPr>
        <w:t>digital transformation: an intermediate phase, such as the current one, in which big data and information technologies, with the endorsement of specific regulatory interventions, are used by tax authorities with a significant impact on external relations with taxpayers;</w:t>
      </w:r>
    </w:p>
    <w:p w14:paraId="580DF290" w14:textId="77777777" w:rsidR="00E57D41" w:rsidRPr="001B6AE9" w:rsidRDefault="00E57D41" w:rsidP="00E57D41">
      <w:pPr>
        <w:numPr>
          <w:ilvl w:val="0"/>
          <w:numId w:val="3"/>
        </w:numPr>
        <w:spacing w:after="0" w:line="360" w:lineRule="auto"/>
        <w:jc w:val="both"/>
        <w:rPr>
          <w:rFonts w:ascii="Georgia" w:hAnsi="Georgia"/>
          <w:sz w:val="24"/>
          <w:szCs w:val="24"/>
        </w:rPr>
      </w:pPr>
      <w:r w:rsidRPr="001B6AE9">
        <w:rPr>
          <w:rFonts w:ascii="Georgia" w:hAnsi="Georgia"/>
          <w:sz w:val="24"/>
          <w:szCs w:val="24"/>
        </w:rPr>
        <w:t>digital reorganization of the legal system: a third future phase in which the entire tax system, both substantial and procedural, will be redefined due to a mature and complete digital transformation, which in this phase will take on a general connotation, as part of a redefinition of the entire structure of the legal system.</w:t>
      </w:r>
    </w:p>
    <w:p w14:paraId="2A1F6378" w14:textId="597BC9A4"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In the current phase of digital transformation of the relations between tax authorities and taxpayers, the</w:t>
      </w:r>
      <w:r>
        <w:rPr>
          <w:rFonts w:ascii="Georgia" w:hAnsi="Georgia"/>
          <w:sz w:val="24"/>
          <w:szCs w:val="24"/>
        </w:rPr>
        <w:t xml:space="preserve"> </w:t>
      </w:r>
      <w:r w:rsidRPr="001B6AE9">
        <w:rPr>
          <w:rFonts w:ascii="Georgia" w:hAnsi="Georgia"/>
          <w:sz w:val="24"/>
          <w:szCs w:val="24"/>
        </w:rPr>
        <w:t>vast majority of legislative interventions are of governmental and non-parliamentary origin</w:t>
      </w:r>
      <w:r>
        <w:rPr>
          <w:rFonts w:ascii="Georgia" w:hAnsi="Georgia"/>
          <w:sz w:val="24"/>
          <w:szCs w:val="24"/>
        </w:rPr>
        <w:t>. Because of these current trends</w:t>
      </w:r>
      <w:r w:rsidRPr="001B6AE9">
        <w:rPr>
          <w:rFonts w:ascii="Georgia" w:hAnsi="Georgia"/>
          <w:sz w:val="24"/>
          <w:szCs w:val="24"/>
        </w:rPr>
        <w:t xml:space="preserve"> the aim of strengthening the administrative apparatus, is carried out through specific and sectorial interventions, which do not take into account the general framework of the rule of law. </w:t>
      </w:r>
      <w:r>
        <w:rPr>
          <w:rFonts w:ascii="Georgia" w:hAnsi="Georgia"/>
          <w:sz w:val="24"/>
          <w:szCs w:val="24"/>
        </w:rPr>
        <w:t>The OECD initiatives are developed i</w:t>
      </w:r>
      <w:r w:rsidRPr="001B6AE9">
        <w:rPr>
          <w:rFonts w:ascii="Georgia" w:hAnsi="Georgia"/>
          <w:sz w:val="24"/>
          <w:szCs w:val="24"/>
        </w:rPr>
        <w:t xml:space="preserve">n a similar </w:t>
      </w:r>
      <w:r>
        <w:rPr>
          <w:rFonts w:ascii="Georgia" w:hAnsi="Georgia"/>
          <w:sz w:val="24"/>
          <w:szCs w:val="24"/>
        </w:rPr>
        <w:t>scenario</w:t>
      </w:r>
      <w:r w:rsidRPr="001B6AE9">
        <w:rPr>
          <w:rFonts w:ascii="Georgia" w:hAnsi="Georgia"/>
          <w:sz w:val="24"/>
          <w:szCs w:val="24"/>
        </w:rPr>
        <w:t>.</w:t>
      </w:r>
    </w:p>
    <w:p w14:paraId="1137AE51" w14:textId="77777777"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It is necessary to proceed with a consequential and complementary adaptation: with every step of transformation and digital strengthening of the powers of tax authorities, the system of taxpayers' guarantees must be proportionally strengthened.</w:t>
      </w:r>
    </w:p>
    <w:p w14:paraId="202703FD" w14:textId="77777777"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The guidelines of this legislative process of adaptation are to be found in the classic principles that inspire the attribution of powers to administrative authorities in the rule of law: - legality, impartiality, proportionality and above all reciprocity (as an expression of formal equality).</w:t>
      </w:r>
    </w:p>
    <w:p w14:paraId="13D0BAFC" w14:textId="77777777"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Legality: the use of big data and information technology by tax authorities must be governed by law, which must determine the conditions, methods, purposes and limits, according to the normal rule of law</w:t>
      </w:r>
      <w:r>
        <w:rPr>
          <w:rFonts w:ascii="Georgia" w:hAnsi="Georgia"/>
          <w:sz w:val="24"/>
          <w:szCs w:val="24"/>
        </w:rPr>
        <w:t>.</w:t>
      </w:r>
    </w:p>
    <w:p w14:paraId="49A20041" w14:textId="77777777"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Impartiality: the use of big data and information technologies by the tax authorities can never imply and legitimize a distorted use of a single part of the acquired data: the taxpayer must always have the right to have full knowledge of the big dat</w:t>
      </w:r>
      <w:r>
        <w:rPr>
          <w:rFonts w:ascii="Georgia" w:hAnsi="Georgia"/>
          <w:sz w:val="24"/>
          <w:szCs w:val="24"/>
        </w:rPr>
        <w:t>a</w:t>
      </w:r>
      <w:r w:rsidRPr="001B6AE9">
        <w:rPr>
          <w:rFonts w:ascii="Georgia" w:hAnsi="Georgia"/>
          <w:sz w:val="24"/>
          <w:szCs w:val="24"/>
        </w:rPr>
        <w:t xml:space="preserve"> from which the data were extrapolated and then actually used by the tax authorities.</w:t>
      </w:r>
    </w:p>
    <w:p w14:paraId="66F0ABFB" w14:textId="77777777"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 xml:space="preserve">Proportionality: as powers are strengthened, guarantees must be redesigned and strengthened. Let's take the case of electronic invoicing in Italy: in the past, the Tax Authority had to carry out a complex investigation, carry out accesses, checks and </w:t>
      </w:r>
      <w:r w:rsidRPr="001B6AE9">
        <w:rPr>
          <w:rFonts w:ascii="Georgia" w:hAnsi="Georgia"/>
          <w:sz w:val="24"/>
          <w:szCs w:val="24"/>
        </w:rPr>
        <w:lastRenderedPageBreak/>
        <w:t xml:space="preserve">inspections to acquire data relating to individual invoices, etc.; now the </w:t>
      </w:r>
      <w:r>
        <w:rPr>
          <w:rFonts w:ascii="Georgia" w:hAnsi="Georgia"/>
          <w:sz w:val="24"/>
          <w:szCs w:val="24"/>
        </w:rPr>
        <w:t>A</w:t>
      </w:r>
      <w:r w:rsidRPr="001B6AE9">
        <w:rPr>
          <w:rFonts w:ascii="Georgia" w:hAnsi="Georgia"/>
          <w:sz w:val="24"/>
          <w:szCs w:val="24"/>
        </w:rPr>
        <w:t xml:space="preserve">gency receives all copies of all invoices in real time, as they are issued. </w:t>
      </w:r>
    </w:p>
    <w:p w14:paraId="3A02AB61" w14:textId="59D8A9C2"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 xml:space="preserve">If in the past the deadline for VAT controls was five years, from the submission of the annual VAT return, now it must be reduced, with a consequential and complementary adaptation, anchored to the principle of proportionality: the technical timing of the controls has been greatly accelerated; the statutory </w:t>
      </w:r>
      <w:r>
        <w:rPr>
          <w:rFonts w:ascii="Georgia" w:hAnsi="Georgia"/>
          <w:sz w:val="24"/>
          <w:szCs w:val="24"/>
        </w:rPr>
        <w:t>tile limit</w:t>
      </w:r>
      <w:r w:rsidRPr="001B6AE9">
        <w:rPr>
          <w:rFonts w:ascii="Georgia" w:hAnsi="Georgia"/>
          <w:sz w:val="24"/>
          <w:szCs w:val="24"/>
        </w:rPr>
        <w:t xml:space="preserve"> to carry out the controls must be reduced by at least two thirds</w:t>
      </w:r>
      <w:r>
        <w:rPr>
          <w:rFonts w:ascii="Georgia" w:hAnsi="Georgia"/>
          <w:sz w:val="24"/>
          <w:szCs w:val="24"/>
        </w:rPr>
        <w:t>.</w:t>
      </w:r>
      <w:r w:rsidRPr="001B6AE9">
        <w:rPr>
          <w:rFonts w:ascii="Georgia" w:hAnsi="Georgia"/>
          <w:sz w:val="24"/>
          <w:szCs w:val="24"/>
          <w:vertAlign w:val="superscript"/>
        </w:rPr>
        <w:footnoteReference w:id="47"/>
      </w:r>
    </w:p>
    <w:p w14:paraId="137570FF" w14:textId="77777777"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The same goes for the collection of tax credits: the Collection Agency normally has a ten-year limitation period, but this period is anachronistic.</w:t>
      </w:r>
    </w:p>
    <w:p w14:paraId="1B7CA86D" w14:textId="0D930E69"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 xml:space="preserve">Once upon a time the collection agent had to physically search for movables, real estate, bank accounts, etc., and then initiate the foreclosure; today the search is done electronically in 30 minutes, thanks to the very powerful databases available to the collection agent; consequently, </w:t>
      </w:r>
      <w:r>
        <w:rPr>
          <w:rFonts w:ascii="Georgia" w:hAnsi="Georgia"/>
          <w:sz w:val="24"/>
          <w:szCs w:val="24"/>
        </w:rPr>
        <w:t>such a</w:t>
      </w:r>
      <w:r w:rsidRPr="001B6AE9">
        <w:rPr>
          <w:rFonts w:ascii="Georgia" w:hAnsi="Georgia"/>
          <w:sz w:val="24"/>
          <w:szCs w:val="24"/>
        </w:rPr>
        <w:t xml:space="preserve"> </w:t>
      </w:r>
      <w:r>
        <w:rPr>
          <w:rFonts w:ascii="Georgia" w:hAnsi="Georgia"/>
          <w:sz w:val="24"/>
          <w:szCs w:val="24"/>
        </w:rPr>
        <w:t xml:space="preserve">ten- year- time limit </w:t>
      </w:r>
      <w:r w:rsidRPr="001B6AE9">
        <w:rPr>
          <w:rFonts w:ascii="Georgia" w:hAnsi="Georgia"/>
          <w:sz w:val="24"/>
          <w:szCs w:val="24"/>
        </w:rPr>
        <w:t>must be reduced by at least two-thirds</w:t>
      </w:r>
      <w:r>
        <w:rPr>
          <w:rFonts w:ascii="Georgia" w:hAnsi="Georgia"/>
          <w:sz w:val="24"/>
          <w:szCs w:val="24"/>
        </w:rPr>
        <w:t>.</w:t>
      </w:r>
      <w:r w:rsidRPr="001B6AE9">
        <w:rPr>
          <w:rFonts w:ascii="Georgia" w:hAnsi="Georgia"/>
          <w:sz w:val="24"/>
          <w:szCs w:val="24"/>
          <w:vertAlign w:val="superscript"/>
        </w:rPr>
        <w:footnoteReference w:id="48"/>
      </w:r>
    </w:p>
    <w:p w14:paraId="18562382" w14:textId="77777777"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Reciprocity, as an expression of formal equality: If the tax authorities have the right to communicate a deed to the taxpayer by e-mail, the taxpayer must have the right to do the same to the authority.</w:t>
      </w:r>
    </w:p>
    <w:p w14:paraId="3B9CF7C3" w14:textId="77777777"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 xml:space="preserve">The principle of reciprocity can, however, operate fully only in cases where the use of big data and/or information technology is related to equal relations between tax authorities </w:t>
      </w:r>
      <w:r>
        <w:rPr>
          <w:rFonts w:ascii="Georgia" w:hAnsi="Georgia"/>
          <w:sz w:val="24"/>
          <w:szCs w:val="24"/>
        </w:rPr>
        <w:t xml:space="preserve">and </w:t>
      </w:r>
      <w:r w:rsidRPr="001B6AE9">
        <w:rPr>
          <w:rFonts w:ascii="Georgia" w:hAnsi="Georgia"/>
          <w:sz w:val="24"/>
          <w:szCs w:val="24"/>
        </w:rPr>
        <w:t xml:space="preserve">taxpayers (phase of communications, exchange of acts in the procedure and in the </w:t>
      </w:r>
      <w:r>
        <w:rPr>
          <w:rFonts w:ascii="Georgia" w:hAnsi="Georgia"/>
          <w:sz w:val="24"/>
          <w:szCs w:val="24"/>
        </w:rPr>
        <w:t>trial</w:t>
      </w:r>
      <w:r w:rsidRPr="001B6AE9">
        <w:rPr>
          <w:rFonts w:ascii="Georgia" w:hAnsi="Georgia"/>
          <w:sz w:val="24"/>
          <w:szCs w:val="24"/>
        </w:rPr>
        <w:t xml:space="preserve"> etc.).</w:t>
      </w:r>
    </w:p>
    <w:p w14:paraId="0FD9BCE6" w14:textId="77777777" w:rsidR="00E57D41" w:rsidRPr="001B6AE9" w:rsidRDefault="00E57D41" w:rsidP="00E57D41">
      <w:pPr>
        <w:spacing w:after="0" w:line="360" w:lineRule="auto"/>
        <w:jc w:val="both"/>
        <w:rPr>
          <w:rFonts w:ascii="Georgia" w:hAnsi="Georgia"/>
          <w:sz w:val="24"/>
          <w:szCs w:val="24"/>
        </w:rPr>
      </w:pPr>
      <w:r w:rsidRPr="001B6AE9">
        <w:rPr>
          <w:rFonts w:ascii="Georgia" w:hAnsi="Georgia"/>
          <w:sz w:val="24"/>
          <w:szCs w:val="24"/>
        </w:rPr>
        <w:t>Further insights:</w:t>
      </w:r>
    </w:p>
    <w:p w14:paraId="2F307ADA" w14:textId="77777777" w:rsidR="00E57D41" w:rsidRPr="001B6AE9" w:rsidRDefault="00E57D41" w:rsidP="00E57D41">
      <w:pPr>
        <w:numPr>
          <w:ilvl w:val="0"/>
          <w:numId w:val="3"/>
        </w:numPr>
        <w:spacing w:after="0" w:line="360" w:lineRule="auto"/>
        <w:jc w:val="both"/>
        <w:rPr>
          <w:rFonts w:ascii="Georgia" w:hAnsi="Georgia"/>
          <w:sz w:val="24"/>
          <w:szCs w:val="24"/>
        </w:rPr>
      </w:pPr>
      <w:r w:rsidRPr="001B6AE9">
        <w:rPr>
          <w:rFonts w:ascii="Georgia" w:hAnsi="Georgia"/>
          <w:sz w:val="24"/>
          <w:szCs w:val="24"/>
        </w:rPr>
        <w:t>the taxpayer may not be asked to provide documents and information already available to the tax authorities through databases managed by them or in any case usable by them;</w:t>
      </w:r>
    </w:p>
    <w:p w14:paraId="71E5D8FB" w14:textId="77777777" w:rsidR="00E57D41" w:rsidRPr="001B6AE9" w:rsidRDefault="00E57D41" w:rsidP="00E57D41">
      <w:pPr>
        <w:numPr>
          <w:ilvl w:val="0"/>
          <w:numId w:val="3"/>
        </w:numPr>
        <w:spacing w:after="0" w:line="360" w:lineRule="auto"/>
        <w:jc w:val="both"/>
        <w:rPr>
          <w:rFonts w:ascii="Georgia" w:hAnsi="Georgia"/>
          <w:sz w:val="24"/>
          <w:szCs w:val="24"/>
        </w:rPr>
      </w:pPr>
      <w:r w:rsidRPr="001B6AE9">
        <w:rPr>
          <w:rFonts w:ascii="Georgia" w:hAnsi="Georgia"/>
          <w:sz w:val="24"/>
          <w:szCs w:val="24"/>
        </w:rPr>
        <w:t>by reinforcing the principle of adversarial debate, every time the tax authorities intend to issue a deed against the taxpayer, they must ask him/her first for the appropriate clarifications on the matter, allowing him/her to counter</w:t>
      </w:r>
      <w:r>
        <w:rPr>
          <w:rFonts w:ascii="Georgia" w:hAnsi="Georgia"/>
          <w:sz w:val="24"/>
          <w:szCs w:val="24"/>
        </w:rPr>
        <w:t>act</w:t>
      </w:r>
      <w:r w:rsidRPr="001B6AE9">
        <w:rPr>
          <w:rFonts w:ascii="Georgia" w:hAnsi="Georgia"/>
          <w:sz w:val="24"/>
          <w:szCs w:val="24"/>
        </w:rPr>
        <w:t>. In the past, the cross-examination in person could have been burdensome for the authorities; today everything becomes faster and more streamlined;</w:t>
      </w:r>
    </w:p>
    <w:p w14:paraId="19C20295" w14:textId="77777777" w:rsidR="00E57D41" w:rsidRPr="001B6AE9" w:rsidRDefault="00E57D41" w:rsidP="00E57D41">
      <w:pPr>
        <w:numPr>
          <w:ilvl w:val="0"/>
          <w:numId w:val="3"/>
        </w:numPr>
        <w:spacing w:after="0" w:line="360" w:lineRule="auto"/>
        <w:jc w:val="both"/>
        <w:rPr>
          <w:rFonts w:ascii="Georgia" w:hAnsi="Georgia"/>
          <w:sz w:val="24"/>
          <w:szCs w:val="24"/>
        </w:rPr>
      </w:pPr>
      <w:r w:rsidRPr="001B6AE9">
        <w:rPr>
          <w:rFonts w:ascii="Georgia" w:hAnsi="Georgia"/>
          <w:sz w:val="24"/>
          <w:szCs w:val="24"/>
        </w:rPr>
        <w:lastRenderedPageBreak/>
        <w:t>the motivation of the acts must extend to the assumptions of fact and law based on the use of big data, forms of artificial intelligence (processing and use of algorithms, etc..), explaining and justifying the manner of processing and use, so as to allow the taxpayer to fully understand the work of the administration;</w:t>
      </w:r>
    </w:p>
    <w:p w14:paraId="42E9C919" w14:textId="77777777" w:rsidR="00E57D41" w:rsidRPr="001B6AE9" w:rsidRDefault="00E57D41" w:rsidP="00E57D41">
      <w:pPr>
        <w:numPr>
          <w:ilvl w:val="0"/>
          <w:numId w:val="3"/>
        </w:numPr>
        <w:spacing w:after="0" w:line="360" w:lineRule="auto"/>
        <w:jc w:val="both"/>
        <w:rPr>
          <w:rFonts w:ascii="Georgia" w:hAnsi="Georgia"/>
          <w:sz w:val="24"/>
          <w:szCs w:val="24"/>
        </w:rPr>
      </w:pPr>
      <w:r w:rsidRPr="001B6AE9">
        <w:rPr>
          <w:rFonts w:ascii="Georgia" w:hAnsi="Georgia"/>
          <w:sz w:val="24"/>
          <w:szCs w:val="24"/>
        </w:rPr>
        <w:t>in complying with the principles of legality and proportionality the use of big data must be aimed at certain objectives, within certain time limits; the data acquired by the tax authorities must be eliminated once the legal terms in which they can be used have expired;</w:t>
      </w:r>
    </w:p>
    <w:p w14:paraId="1DD49C0D" w14:textId="77777777" w:rsidR="00E57D41" w:rsidRPr="001B6AE9" w:rsidRDefault="00E57D41" w:rsidP="00E57D41">
      <w:pPr>
        <w:numPr>
          <w:ilvl w:val="0"/>
          <w:numId w:val="3"/>
        </w:numPr>
        <w:spacing w:after="0" w:line="360" w:lineRule="auto"/>
        <w:jc w:val="both"/>
        <w:rPr>
          <w:rFonts w:ascii="Georgia" w:hAnsi="Georgia"/>
          <w:sz w:val="24"/>
          <w:szCs w:val="24"/>
        </w:rPr>
      </w:pPr>
      <w:r>
        <w:rPr>
          <w:rFonts w:ascii="Georgia" w:hAnsi="Georgia"/>
          <w:sz w:val="24"/>
          <w:szCs w:val="24"/>
        </w:rPr>
        <w:t>i</w:t>
      </w:r>
      <w:r w:rsidRPr="001B6AE9">
        <w:rPr>
          <w:rFonts w:ascii="Georgia" w:hAnsi="Georgia"/>
          <w:sz w:val="24"/>
          <w:szCs w:val="24"/>
        </w:rPr>
        <w:t>n complying with the principle of impartiality, the tax authorities must provide the taxpayer with the data and information that he requests and that these authorities have available to them;</w:t>
      </w:r>
    </w:p>
    <w:p w14:paraId="00735BA5" w14:textId="77777777" w:rsidR="00E57D41" w:rsidRPr="001B6AE9" w:rsidRDefault="00E57D41" w:rsidP="00E57D41">
      <w:pPr>
        <w:numPr>
          <w:ilvl w:val="0"/>
          <w:numId w:val="3"/>
        </w:numPr>
        <w:spacing w:after="0" w:line="360" w:lineRule="auto"/>
        <w:jc w:val="both"/>
        <w:rPr>
          <w:rFonts w:ascii="Georgia" w:hAnsi="Georgia"/>
          <w:sz w:val="24"/>
          <w:szCs w:val="24"/>
        </w:rPr>
      </w:pPr>
      <w:r>
        <w:rPr>
          <w:rFonts w:ascii="Georgia" w:hAnsi="Georgia"/>
          <w:sz w:val="24"/>
          <w:szCs w:val="24"/>
        </w:rPr>
        <w:t>i</w:t>
      </w:r>
      <w:r w:rsidRPr="001B6AE9">
        <w:rPr>
          <w:rFonts w:ascii="Georgia" w:hAnsi="Georgia"/>
          <w:sz w:val="24"/>
          <w:szCs w:val="24"/>
        </w:rPr>
        <w:t>n complying with the principles of legality and impartiality, taxpayers must have the right to obtain that the tax authorities eliminate data held despite the expiry of the legal deadlines,</w:t>
      </w:r>
      <w:r>
        <w:rPr>
          <w:rFonts w:ascii="Georgia" w:hAnsi="Georgia"/>
          <w:sz w:val="24"/>
          <w:szCs w:val="24"/>
        </w:rPr>
        <w:t xml:space="preserve"> as well as data</w:t>
      </w:r>
      <w:r w:rsidRPr="001B6AE9">
        <w:rPr>
          <w:rFonts w:ascii="Georgia" w:hAnsi="Georgia"/>
          <w:sz w:val="24"/>
          <w:szCs w:val="24"/>
        </w:rPr>
        <w:t xml:space="preserve"> unlawfully acquired</w:t>
      </w:r>
      <w:r>
        <w:rPr>
          <w:rFonts w:ascii="Georgia" w:hAnsi="Georgia"/>
          <w:sz w:val="24"/>
          <w:szCs w:val="24"/>
        </w:rPr>
        <w:t xml:space="preserve"> or currently </w:t>
      </w:r>
      <w:r w:rsidRPr="001B6AE9">
        <w:rPr>
          <w:rFonts w:ascii="Georgia" w:hAnsi="Georgia"/>
          <w:sz w:val="24"/>
          <w:szCs w:val="24"/>
        </w:rPr>
        <w:t>useless;</w:t>
      </w:r>
    </w:p>
    <w:p w14:paraId="648F6FE7" w14:textId="77777777" w:rsidR="00E57D41" w:rsidRPr="00E57D41" w:rsidRDefault="00E57D41" w:rsidP="00E57D41">
      <w:pPr>
        <w:numPr>
          <w:ilvl w:val="0"/>
          <w:numId w:val="3"/>
        </w:numPr>
        <w:spacing w:after="0" w:line="360" w:lineRule="auto"/>
        <w:jc w:val="both"/>
        <w:rPr>
          <w:rFonts w:ascii="Georgia" w:hAnsi="Georgia"/>
          <w:sz w:val="24"/>
          <w:szCs w:val="24"/>
        </w:rPr>
      </w:pPr>
      <w:r>
        <w:rPr>
          <w:rFonts w:ascii="Georgia" w:hAnsi="Georgia"/>
          <w:sz w:val="24"/>
          <w:szCs w:val="24"/>
        </w:rPr>
        <w:t>i</w:t>
      </w:r>
      <w:r w:rsidRPr="001B6AE9">
        <w:rPr>
          <w:rFonts w:ascii="Georgia" w:hAnsi="Georgia"/>
          <w:sz w:val="24"/>
          <w:szCs w:val="24"/>
        </w:rPr>
        <w:t>n complying with the principles of proportionality and impartiality, both tax authorities and taxpayers who have made errors in the management of tax obligations, substantial</w:t>
      </w:r>
      <w:r>
        <w:rPr>
          <w:rFonts w:ascii="Georgia" w:hAnsi="Georgia"/>
          <w:sz w:val="24"/>
          <w:szCs w:val="24"/>
        </w:rPr>
        <w:t xml:space="preserve"> and</w:t>
      </w:r>
      <w:r w:rsidRPr="001B6AE9">
        <w:rPr>
          <w:rFonts w:ascii="Georgia" w:hAnsi="Georgia"/>
          <w:sz w:val="24"/>
          <w:szCs w:val="24"/>
        </w:rPr>
        <w:t xml:space="preserve"> procedural, must always recognized the right to remit in terms of excusable error (not only for the technical detail and the technological drawbacks peculiar to IT procedures, but also because in the past a remittance in </w:t>
      </w:r>
      <w:r w:rsidRPr="00E57D41">
        <w:rPr>
          <w:rFonts w:ascii="Georgia" w:hAnsi="Georgia"/>
          <w:sz w:val="24"/>
          <w:szCs w:val="24"/>
        </w:rPr>
        <w:t>terms could lead to delays etc., while today everything is extremely accelerated).</w:t>
      </w:r>
    </w:p>
    <w:p w14:paraId="6DC4DC24" w14:textId="77777777" w:rsidR="00E57D41" w:rsidRPr="00E57D41" w:rsidRDefault="00E57D41" w:rsidP="00E57D41">
      <w:pPr>
        <w:spacing w:after="0" w:line="360" w:lineRule="auto"/>
        <w:jc w:val="both"/>
        <w:rPr>
          <w:rFonts w:ascii="Georgia" w:hAnsi="Georgia"/>
          <w:sz w:val="24"/>
          <w:szCs w:val="24"/>
        </w:rPr>
      </w:pPr>
      <w:r w:rsidRPr="00E57D41">
        <w:rPr>
          <w:rFonts w:ascii="Georgia" w:hAnsi="Georgia"/>
          <w:sz w:val="24"/>
          <w:szCs w:val="24"/>
        </w:rPr>
        <w:t>These are ideas centered on privacy protection, but it should be remembered that data protection rights both within OECD context and EU one applies only to individuals and not to legal persons. Therefore, the great theme of Privacy for individuals arises in the background, but it is a matter of general theory of law, on which we cannot dwell here.</w:t>
      </w:r>
    </w:p>
    <w:p w14:paraId="343E339C" w14:textId="77777777" w:rsidR="00E57D41" w:rsidRPr="00E57D41" w:rsidRDefault="00E57D41" w:rsidP="00E57D41">
      <w:pPr>
        <w:spacing w:after="0" w:line="360" w:lineRule="auto"/>
        <w:jc w:val="both"/>
        <w:rPr>
          <w:rFonts w:ascii="Georgia" w:hAnsi="Georgia"/>
          <w:sz w:val="24"/>
          <w:szCs w:val="24"/>
        </w:rPr>
      </w:pPr>
      <w:r w:rsidRPr="00E57D41">
        <w:rPr>
          <w:rFonts w:ascii="Georgia" w:hAnsi="Georgia"/>
          <w:sz w:val="24"/>
          <w:szCs w:val="24"/>
        </w:rPr>
        <w:t xml:space="preserve">As far as the scenario of guarantees is concerned, the OECD in all its interventions on the themes of cross-border circulation of personal data, Privacy, Digital Transformation of Tax Administration etc., poses the question of taxpayer protection within the framework of the effectiveness of the instruments of control. The priority needs are always those of the States and the tax authorities. </w:t>
      </w:r>
    </w:p>
    <w:p w14:paraId="514EBC1E" w14:textId="619C0A09" w:rsidR="00E57D41" w:rsidRPr="00E57D41" w:rsidRDefault="00E57D41" w:rsidP="00E57D41">
      <w:pPr>
        <w:spacing w:after="0" w:line="360" w:lineRule="auto"/>
        <w:jc w:val="both"/>
        <w:rPr>
          <w:rFonts w:ascii="Georgia" w:hAnsi="Georgia"/>
          <w:sz w:val="24"/>
          <w:szCs w:val="24"/>
        </w:rPr>
      </w:pPr>
      <w:r w:rsidRPr="00E57D41">
        <w:rPr>
          <w:rFonts w:ascii="Georgia" w:hAnsi="Georgia"/>
          <w:sz w:val="24"/>
          <w:szCs w:val="24"/>
        </w:rPr>
        <w:t>However, the OECD makes explicit its basic logic, inspired by the need for balance, based on two pillars: - the powers of the tax authorities must always be assessed in the light of the principle of proportionality; - the powers of the tax authorities must always be regulated and exercised in such a way as to safeguard the trust that citizens must have in their Governments. The OECD always keeps its distance from the</w:t>
      </w:r>
      <w:r>
        <w:rPr>
          <w:rFonts w:ascii="Georgia" w:hAnsi="Georgia"/>
          <w:sz w:val="24"/>
          <w:szCs w:val="24"/>
        </w:rPr>
        <w:t xml:space="preserve"> </w:t>
      </w:r>
      <w:r w:rsidRPr="00E57D41">
        <w:rPr>
          <w:rFonts w:ascii="Georgia" w:hAnsi="Georgia"/>
          <w:sz w:val="24"/>
          <w:szCs w:val="24"/>
        </w:rPr>
        <w:t xml:space="preserve">neuralgic junctures that </w:t>
      </w:r>
      <w:r w:rsidRPr="00E57D41">
        <w:rPr>
          <w:rFonts w:ascii="Georgia" w:hAnsi="Georgia"/>
          <w:sz w:val="24"/>
          <w:szCs w:val="24"/>
        </w:rPr>
        <w:lastRenderedPageBreak/>
        <w:t>characterize the balance of states under the rule of law, the principle of legality, the balance between public powers and freedom.</w:t>
      </w:r>
    </w:p>
    <w:p w14:paraId="54939992" w14:textId="77777777" w:rsidR="00E57D41" w:rsidRPr="00E57D41" w:rsidRDefault="00E57D41" w:rsidP="00E57D41">
      <w:pPr>
        <w:spacing w:after="0" w:line="360" w:lineRule="auto"/>
        <w:jc w:val="both"/>
        <w:rPr>
          <w:rFonts w:ascii="Georgia" w:hAnsi="Georgia"/>
          <w:sz w:val="24"/>
          <w:szCs w:val="24"/>
        </w:rPr>
      </w:pPr>
      <w:r w:rsidRPr="00E57D41">
        <w:rPr>
          <w:rFonts w:ascii="Georgia" w:hAnsi="Georgia"/>
          <w:sz w:val="24"/>
          <w:szCs w:val="24"/>
        </w:rPr>
        <w:t>Therefore, a scenario emerges in which, beyond appearances and technocratic drives, the digital transformation cannot be used as an alibi to undermine the rule of law.</w:t>
      </w:r>
    </w:p>
    <w:p w14:paraId="3D776B9A" w14:textId="77777777" w:rsidR="00E57D41" w:rsidRPr="00E57D41" w:rsidRDefault="00E57D41" w:rsidP="00E57D41">
      <w:pPr>
        <w:spacing w:after="0" w:line="360" w:lineRule="auto"/>
        <w:jc w:val="both"/>
        <w:rPr>
          <w:rFonts w:ascii="Georgia" w:hAnsi="Georgia"/>
          <w:sz w:val="24"/>
          <w:szCs w:val="24"/>
        </w:rPr>
      </w:pPr>
      <w:r w:rsidRPr="00E57D41">
        <w:rPr>
          <w:rFonts w:ascii="Georgia" w:hAnsi="Georgia"/>
          <w:sz w:val="24"/>
          <w:szCs w:val="24"/>
        </w:rPr>
        <w:t>The “acquis” of the rule of law cannot be overwhelmed by digital transformation.</w:t>
      </w:r>
    </w:p>
    <w:p w14:paraId="6065DBF9" w14:textId="77777777" w:rsidR="00E57D41" w:rsidRPr="00E57D41" w:rsidRDefault="00E57D41">
      <w:pPr>
        <w:spacing w:after="0" w:line="360" w:lineRule="auto"/>
        <w:jc w:val="both"/>
        <w:rPr>
          <w:rFonts w:ascii="Georgia" w:hAnsi="Georgia"/>
          <w:sz w:val="24"/>
          <w:szCs w:val="24"/>
        </w:rPr>
      </w:pPr>
    </w:p>
    <w:sectPr w:rsidR="00E57D41" w:rsidRPr="00E57D41">
      <w:headerReference w:type="default" r:id="rId8"/>
      <w:footerReference w:type="default" r:id="rId9"/>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A43A38B" w14:textId="77777777" w:rsidR="006D0036" w:rsidRDefault="006D0036">
      <w:pPr>
        <w:spacing w:after="0" w:line="240" w:lineRule="auto"/>
      </w:pPr>
      <w:r>
        <w:separator/>
      </w:r>
    </w:p>
  </w:endnote>
  <w:endnote w:type="continuationSeparator" w:id="0">
    <w:p w14:paraId="03BE0D6C" w14:textId="77777777" w:rsidR="006D0036" w:rsidRDefault="006D00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Georgia">
    <w:altName w:val="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Noto Sans Symbols">
    <w:panose1 w:val="020B0604020202020204"/>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dvOTfd7dc6d4.B">
    <w:altName w:val="Calibri"/>
    <w:panose1 w:val="020B0604020202020204"/>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0B4" w14:textId="08BB7244" w:rsidR="00956D20" w:rsidRDefault="00E90E31">
    <w:pPr>
      <w:pBdr>
        <w:top w:val="nil"/>
        <w:left w:val="nil"/>
        <w:bottom w:val="nil"/>
        <w:right w:val="nil"/>
        <w:between w:val="nil"/>
      </w:pBdr>
      <w:tabs>
        <w:tab w:val="center" w:pos="4819"/>
        <w:tab w:val="right" w:pos="9638"/>
      </w:tabs>
      <w:spacing w:after="0" w:line="240" w:lineRule="auto"/>
      <w:jc w:val="right"/>
      <w:rPr>
        <w:rFonts w:ascii="Georgia" w:eastAsia="Georgia" w:hAnsi="Georgia" w:cs="Georgia"/>
        <w:color w:val="000000"/>
      </w:rPr>
    </w:pPr>
    <w:r>
      <w:rPr>
        <w:rFonts w:ascii="Georgia" w:eastAsia="Georgia" w:hAnsi="Georgia" w:cs="Georgia"/>
        <w:color w:val="000000"/>
      </w:rPr>
      <w:fldChar w:fldCharType="begin"/>
    </w:r>
    <w:r>
      <w:rPr>
        <w:rFonts w:ascii="Georgia" w:eastAsia="Georgia" w:hAnsi="Georgia" w:cs="Georgia"/>
        <w:color w:val="000000"/>
      </w:rPr>
      <w:instrText>PAGE</w:instrText>
    </w:r>
    <w:r>
      <w:rPr>
        <w:rFonts w:ascii="Georgia" w:eastAsia="Georgia" w:hAnsi="Georgia" w:cs="Georgia"/>
        <w:color w:val="000000"/>
      </w:rPr>
      <w:fldChar w:fldCharType="separate"/>
    </w:r>
    <w:r w:rsidR="00BB5C98">
      <w:rPr>
        <w:rFonts w:ascii="Georgia" w:eastAsia="Georgia" w:hAnsi="Georgia" w:cs="Georgia"/>
        <w:noProof/>
        <w:color w:val="000000"/>
      </w:rPr>
      <w:t>1</w:t>
    </w:r>
    <w:r>
      <w:rPr>
        <w:rFonts w:ascii="Georgia" w:eastAsia="Georgia" w:hAnsi="Georgia" w:cs="Georgia"/>
        <w:color w:val="000000"/>
      </w:rPr>
      <w:fldChar w:fldCharType="end"/>
    </w:r>
  </w:p>
  <w:p w14:paraId="000000B5" w14:textId="77777777" w:rsidR="00956D20" w:rsidRDefault="00956D20">
    <w:pPr>
      <w:pBdr>
        <w:top w:val="nil"/>
        <w:left w:val="nil"/>
        <w:bottom w:val="nil"/>
        <w:right w:val="nil"/>
        <w:between w:val="nil"/>
      </w:pBdr>
      <w:tabs>
        <w:tab w:val="center" w:pos="4819"/>
        <w:tab w:val="right" w:pos="96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7F8D013" w14:textId="77777777" w:rsidR="006D0036" w:rsidRDefault="006D0036">
      <w:pPr>
        <w:spacing w:after="0" w:line="240" w:lineRule="auto"/>
      </w:pPr>
      <w:r>
        <w:separator/>
      </w:r>
    </w:p>
  </w:footnote>
  <w:footnote w:type="continuationSeparator" w:id="0">
    <w:p w14:paraId="39EEFF2B" w14:textId="77777777" w:rsidR="006D0036" w:rsidRDefault="006D0036">
      <w:pPr>
        <w:spacing w:after="0" w:line="240" w:lineRule="auto"/>
      </w:pPr>
      <w:r>
        <w:continuationSeparator/>
      </w:r>
    </w:p>
  </w:footnote>
  <w:footnote w:id="1">
    <w:p w14:paraId="0D2CBF80" w14:textId="245E5E66" w:rsidR="00D11FA8" w:rsidRPr="00E57D41" w:rsidRDefault="00D11FA8" w:rsidP="00E57D41">
      <w:pPr>
        <w:pStyle w:val="Testonotaapidipagina"/>
        <w:jc w:val="both"/>
        <w:rPr>
          <w:rFonts w:ascii="Georgia" w:hAnsi="Georgia"/>
          <w:lang w:val="en-US"/>
        </w:rPr>
      </w:pPr>
      <w:r w:rsidRPr="00E57D41">
        <w:rPr>
          <w:rFonts w:ascii="Georgia" w:hAnsi="Georgia"/>
          <w:vertAlign w:val="superscript"/>
          <w:lang w:val="en-US"/>
        </w:rPr>
        <w:footnoteRef/>
      </w:r>
      <w:r w:rsidRPr="00E57D41">
        <w:rPr>
          <w:rFonts w:ascii="Georgia" w:hAnsi="Georgia"/>
          <w:vertAlign w:val="superscript"/>
          <w:lang w:val="en-US"/>
        </w:rPr>
        <w:t xml:space="preserve"> </w:t>
      </w:r>
      <w:r w:rsidRPr="00E57D41">
        <w:rPr>
          <w:rFonts w:ascii="Georgia" w:hAnsi="Georgia"/>
          <w:lang w:val="en-US"/>
        </w:rPr>
        <w:t>This article stems from the Authors' joint research and continuous exchange of ideas</w:t>
      </w:r>
      <w:r w:rsidR="00FD2883">
        <w:rPr>
          <w:rFonts w:ascii="Georgia" w:hAnsi="Georgia"/>
          <w:lang w:val="en-US"/>
        </w:rPr>
        <w:t xml:space="preserve"> </w:t>
      </w:r>
      <w:r w:rsidR="00FD2883" w:rsidRPr="00FD2883">
        <w:rPr>
          <w:rFonts w:ascii="Georgia" w:hAnsi="Georgia"/>
          <w:lang w:val="en-US"/>
        </w:rPr>
        <w:t>under the research project "</w:t>
      </w:r>
      <w:r w:rsidR="00FD2883" w:rsidRPr="00FD2883">
        <w:rPr>
          <w:rFonts w:ascii="Georgia" w:hAnsi="Georgia"/>
          <w:i/>
          <w:iCs/>
          <w:lang w:val="en-US"/>
        </w:rPr>
        <w:t>Digital Transformation of Tax Administrations</w:t>
      </w:r>
      <w:r w:rsidR="00FD2883">
        <w:rPr>
          <w:rFonts w:ascii="Georgia" w:hAnsi="Georgia"/>
          <w:lang w:val="en-US"/>
        </w:rPr>
        <w:t>”</w:t>
      </w:r>
      <w:r w:rsidR="0030714E">
        <w:rPr>
          <w:rFonts w:ascii="Georgia" w:hAnsi="Georgia"/>
          <w:lang w:val="en-US"/>
        </w:rPr>
        <w:t xml:space="preserve"> promoted by </w:t>
      </w:r>
      <w:r w:rsidR="00FD2883">
        <w:rPr>
          <w:rFonts w:ascii="Georgia" w:hAnsi="Georgia"/>
          <w:lang w:val="en-US"/>
        </w:rPr>
        <w:t>IBFD</w:t>
      </w:r>
      <w:r w:rsidR="0030714E">
        <w:rPr>
          <w:rFonts w:ascii="Georgia" w:hAnsi="Georgia"/>
          <w:lang w:val="en-US"/>
        </w:rPr>
        <w:t xml:space="preserve"> (International Bureau of Fiscal Documentation)</w:t>
      </w:r>
      <w:r w:rsidR="00FD2883">
        <w:rPr>
          <w:rFonts w:ascii="Georgia" w:hAnsi="Georgia"/>
          <w:lang w:val="en-US"/>
        </w:rPr>
        <w:t xml:space="preserve"> – IEF (Instituto</w:t>
      </w:r>
      <w:r w:rsidR="0030714E">
        <w:rPr>
          <w:rFonts w:ascii="Georgia" w:hAnsi="Georgia"/>
          <w:lang w:val="en-US"/>
        </w:rPr>
        <w:t xml:space="preserve"> de </w:t>
      </w:r>
      <w:proofErr w:type="spellStart"/>
      <w:r w:rsidR="0030714E">
        <w:rPr>
          <w:rFonts w:ascii="Georgia" w:hAnsi="Georgia"/>
          <w:lang w:val="en-US"/>
        </w:rPr>
        <w:t>Estudios</w:t>
      </w:r>
      <w:proofErr w:type="spellEnd"/>
      <w:r w:rsidR="0030714E">
        <w:rPr>
          <w:rFonts w:ascii="Georgia" w:hAnsi="Georgia"/>
          <w:lang w:val="en-US"/>
        </w:rPr>
        <w:t xml:space="preserve"> </w:t>
      </w:r>
      <w:proofErr w:type="spellStart"/>
      <w:r w:rsidR="0030714E">
        <w:rPr>
          <w:rFonts w:ascii="Georgia" w:hAnsi="Georgia"/>
          <w:lang w:val="en-US"/>
        </w:rPr>
        <w:t>Fiscales</w:t>
      </w:r>
      <w:proofErr w:type="spellEnd"/>
      <w:r w:rsidR="0030714E">
        <w:rPr>
          <w:rFonts w:ascii="Georgia" w:hAnsi="Georgia"/>
          <w:lang w:val="en-US"/>
        </w:rPr>
        <w:t>) – CEU (Private Universidad San Pablo)</w:t>
      </w:r>
      <w:r w:rsidRPr="00E57D41">
        <w:rPr>
          <w:rFonts w:ascii="Georgia" w:hAnsi="Georgia"/>
          <w:lang w:val="en-US"/>
        </w:rPr>
        <w:t xml:space="preserve">. However, paras. </w:t>
      </w:r>
      <w:r w:rsidR="00E57D41" w:rsidRPr="00E57D41">
        <w:rPr>
          <w:rFonts w:ascii="Georgia" w:hAnsi="Georgia"/>
          <w:lang w:val="en-US"/>
        </w:rPr>
        <w:t>1 and 7</w:t>
      </w:r>
      <w:r w:rsidRPr="00E57D41">
        <w:rPr>
          <w:rFonts w:ascii="Georgia" w:hAnsi="Georgia"/>
          <w:lang w:val="en-US"/>
        </w:rPr>
        <w:t xml:space="preserve">are attributable to Prof. Lorenzo del Federico; paras. </w:t>
      </w:r>
      <w:r w:rsidR="00E57D41" w:rsidRPr="00E57D41">
        <w:rPr>
          <w:rFonts w:ascii="Georgia" w:hAnsi="Georgia"/>
          <w:lang w:val="en-US"/>
        </w:rPr>
        <w:t xml:space="preserve">2, 3, 4, 4.1 and 4.2 </w:t>
      </w:r>
      <w:r w:rsidRPr="00E57D41">
        <w:rPr>
          <w:rFonts w:ascii="Georgia" w:hAnsi="Georgia"/>
          <w:lang w:val="en-US"/>
        </w:rPr>
        <w:t xml:space="preserve">to Dr. Silvia Giorgi and paras. </w:t>
      </w:r>
      <w:r w:rsidR="00E57D41" w:rsidRPr="00E57D41">
        <w:rPr>
          <w:rFonts w:ascii="Georgia" w:hAnsi="Georgia"/>
          <w:lang w:val="en-US"/>
        </w:rPr>
        <w:t>5</w:t>
      </w:r>
      <w:r w:rsidR="00250C6E">
        <w:rPr>
          <w:rFonts w:ascii="Georgia" w:hAnsi="Georgia"/>
          <w:lang w:val="en-US"/>
        </w:rPr>
        <w:t>, 5.1</w:t>
      </w:r>
      <w:r w:rsidR="00E57D41" w:rsidRPr="00E57D41">
        <w:rPr>
          <w:rFonts w:ascii="Georgia" w:hAnsi="Georgia"/>
          <w:lang w:val="en-US"/>
        </w:rPr>
        <w:t xml:space="preserve"> and 6 </w:t>
      </w:r>
      <w:r w:rsidRPr="00E57D41">
        <w:rPr>
          <w:rFonts w:ascii="Georgia" w:hAnsi="Georgia"/>
          <w:lang w:val="en-US"/>
        </w:rPr>
        <w:t xml:space="preserve">to Prof. Francesco </w:t>
      </w:r>
      <w:proofErr w:type="spellStart"/>
      <w:r w:rsidRPr="00E57D41">
        <w:rPr>
          <w:rFonts w:ascii="Georgia" w:hAnsi="Georgia"/>
          <w:lang w:val="en-US"/>
        </w:rPr>
        <w:t>Montanari</w:t>
      </w:r>
      <w:proofErr w:type="spellEnd"/>
      <w:r w:rsidRPr="00E57D41">
        <w:rPr>
          <w:rFonts w:ascii="Georgia" w:hAnsi="Georgia"/>
          <w:lang w:val="en-US"/>
        </w:rPr>
        <w:t xml:space="preserve">. </w:t>
      </w:r>
    </w:p>
  </w:footnote>
  <w:footnote w:id="2">
    <w:p w14:paraId="4F1428B8" w14:textId="061A3EEB" w:rsidR="00E57D41" w:rsidRPr="00E57D41" w:rsidRDefault="00E57D41" w:rsidP="00E57D41">
      <w:pPr>
        <w:pStyle w:val="Testonotaapidipagina"/>
        <w:jc w:val="both"/>
        <w:rPr>
          <w:rFonts w:ascii="Georgia" w:hAnsi="Georgia"/>
          <w:lang w:val="en-US"/>
        </w:rPr>
      </w:pPr>
      <w:r w:rsidRPr="00E57D41">
        <w:rPr>
          <w:rFonts w:ascii="Georgia" w:hAnsi="Georgia"/>
          <w:vertAlign w:val="superscript"/>
          <w:lang w:val="en-US"/>
        </w:rPr>
        <w:footnoteRef/>
      </w:r>
      <w:r w:rsidRPr="00E57D41">
        <w:rPr>
          <w:rFonts w:ascii="Georgia" w:hAnsi="Georgia"/>
          <w:vertAlign w:val="superscript"/>
          <w:lang w:val="en-US"/>
        </w:rPr>
        <w:t xml:space="preserve"> </w:t>
      </w:r>
      <w:r w:rsidRPr="00250C6E">
        <w:rPr>
          <w:rFonts w:ascii="Georgia" w:hAnsi="Georgia"/>
          <w:i/>
          <w:iCs/>
          <w:lang w:val="en-US"/>
        </w:rPr>
        <w:t>Ex multis</w:t>
      </w:r>
      <w:r w:rsidRPr="00E57D41">
        <w:rPr>
          <w:rFonts w:ascii="Georgia" w:hAnsi="Georgia"/>
          <w:lang w:val="en-US"/>
        </w:rPr>
        <w:t xml:space="preserve"> E. </w:t>
      </w:r>
      <w:proofErr w:type="spellStart"/>
      <w:r w:rsidRPr="00E57D41">
        <w:rPr>
          <w:rFonts w:ascii="Georgia" w:hAnsi="Georgia"/>
          <w:lang w:val="en-US"/>
        </w:rPr>
        <w:t>Kristoffersson</w:t>
      </w:r>
      <w:proofErr w:type="spellEnd"/>
      <w:r w:rsidRPr="00E57D41">
        <w:rPr>
          <w:rFonts w:ascii="Georgia" w:hAnsi="Georgia"/>
          <w:lang w:val="en-US"/>
        </w:rPr>
        <w:t xml:space="preserve"> &amp; M. Lang, Tax Secrecy and Tax Transparency, in The Relevance of Confidentiality in Tax Law Part I, p. 2 (E. </w:t>
      </w:r>
      <w:proofErr w:type="spellStart"/>
      <w:r w:rsidRPr="00E57D41">
        <w:rPr>
          <w:rFonts w:ascii="Georgia" w:hAnsi="Georgia"/>
          <w:lang w:val="en-US"/>
        </w:rPr>
        <w:t>Kristoffersson</w:t>
      </w:r>
      <w:proofErr w:type="spellEnd"/>
      <w:r w:rsidRPr="00E57D41">
        <w:rPr>
          <w:rFonts w:ascii="Georgia" w:hAnsi="Georgia"/>
          <w:lang w:val="en-US"/>
        </w:rPr>
        <w:t xml:space="preserve"> et al. eds. Peter Lang Publ. 2013). </w:t>
      </w:r>
    </w:p>
  </w:footnote>
  <w:footnote w:id="3">
    <w:p w14:paraId="0B279D53" w14:textId="7F7FCF39" w:rsidR="00D11FA8" w:rsidRPr="001B6AE9" w:rsidRDefault="00D11FA8" w:rsidP="00E57D41">
      <w:pPr>
        <w:pStyle w:val="Testonotaapidipagina"/>
        <w:jc w:val="both"/>
        <w:rPr>
          <w:rFonts w:ascii="Georgia" w:hAnsi="Georgia"/>
          <w:lang w:val="en-US"/>
        </w:rPr>
      </w:pPr>
      <w:r w:rsidRPr="00E57D41">
        <w:rPr>
          <w:vertAlign w:val="superscript"/>
          <w:lang w:val="en-US"/>
        </w:rPr>
        <w:footnoteRef/>
      </w:r>
      <w:r w:rsidRPr="00E57D41">
        <w:rPr>
          <w:rFonts w:ascii="Georgia" w:hAnsi="Georgia"/>
          <w:vertAlign w:val="superscript"/>
          <w:lang w:val="en-US"/>
        </w:rPr>
        <w:t xml:space="preserve"> </w:t>
      </w:r>
      <w:r w:rsidRPr="001B6AE9">
        <w:rPr>
          <w:rFonts w:ascii="Georgia" w:hAnsi="Georgia"/>
          <w:lang w:val="en-US"/>
        </w:rPr>
        <w:t>OECD (2017) OECD Guidelines on measuring trust, 2017, OECD Publishing, Paris</w:t>
      </w:r>
      <w:r>
        <w:rPr>
          <w:rFonts w:ascii="Georgia" w:hAnsi="Georgia"/>
          <w:lang w:val="en-US"/>
        </w:rPr>
        <w:t>.</w:t>
      </w:r>
      <w:r w:rsidRPr="001B6AE9">
        <w:rPr>
          <w:rFonts w:ascii="Georgia" w:hAnsi="Georgia"/>
          <w:lang w:val="en-US"/>
        </w:rPr>
        <w:tab/>
      </w:r>
      <w:r w:rsidRPr="001B6AE9">
        <w:rPr>
          <w:rFonts w:ascii="Georgia" w:hAnsi="Georgia"/>
          <w:lang w:val="en-US"/>
        </w:rPr>
        <w:tab/>
      </w:r>
    </w:p>
  </w:footnote>
  <w:footnote w:id="4">
    <w:p w14:paraId="09CB39D2" w14:textId="77777777" w:rsidR="00D11FA8" w:rsidRPr="001B6AE9" w:rsidRDefault="00D11FA8" w:rsidP="00D11FA8">
      <w:pPr>
        <w:pStyle w:val="Testonotaapidipagina"/>
        <w:rPr>
          <w:rFonts w:ascii="Georgia" w:hAnsi="Georgia"/>
          <w:lang w:val="en-US"/>
        </w:rPr>
      </w:pPr>
      <w:r w:rsidRPr="001B6AE9">
        <w:rPr>
          <w:rStyle w:val="Rimandonotaapidipagina"/>
          <w:rFonts w:ascii="Georgia" w:hAnsi="Georgia"/>
        </w:rPr>
        <w:footnoteRef/>
      </w:r>
      <w:r w:rsidRPr="001B6AE9">
        <w:rPr>
          <w:rFonts w:ascii="Georgia" w:hAnsi="Georgia"/>
          <w:lang w:val="en-US"/>
        </w:rPr>
        <w:t xml:space="preserve"> OECD (2019) Going Digital: Shaping Policies, Improving Lives, OECD Publishing, Paris, p. 120. See also, in the international context, the “Data Free Flow with Trust” initiative launched by Japan in the context of the G20. </w:t>
      </w:r>
    </w:p>
  </w:footnote>
  <w:footnote w:id="5">
    <w:p w14:paraId="5475D766" w14:textId="77777777" w:rsidR="00D11FA8" w:rsidRPr="001B6AE9" w:rsidRDefault="00D11FA8" w:rsidP="00D11FA8">
      <w:pPr>
        <w:pStyle w:val="Testonotaapidipagina"/>
        <w:rPr>
          <w:rFonts w:ascii="Georgia" w:hAnsi="Georgia"/>
          <w:lang w:val="en-US"/>
        </w:rPr>
      </w:pPr>
      <w:r w:rsidRPr="001B6AE9">
        <w:rPr>
          <w:rStyle w:val="Rimandonotaapidipagina"/>
          <w:rFonts w:ascii="Georgia" w:hAnsi="Georgia"/>
        </w:rPr>
        <w:footnoteRef/>
      </w:r>
      <w:r w:rsidRPr="001B6AE9">
        <w:rPr>
          <w:rFonts w:ascii="Georgia" w:hAnsi="Georgia"/>
          <w:lang w:val="en-US"/>
        </w:rPr>
        <w:t xml:space="preserve"> Par. 18 </w:t>
      </w:r>
      <w:bookmarkStart w:id="3" w:name="_Hlk57915709"/>
      <w:r w:rsidRPr="001B6AE9">
        <w:rPr>
          <w:rFonts w:ascii="Georgia" w:hAnsi="Georgia"/>
          <w:lang w:val="en-US"/>
        </w:rPr>
        <w:t>OECD, Recommendation of the Council concerning Guidelines Governing the Protection of Privacy and Transborder Flows of Personal Data, C(80)58 final, as amended on 11 July 2013 by C(2013)79.</w:t>
      </w:r>
    </w:p>
    <w:bookmarkEnd w:id="3"/>
  </w:footnote>
  <w:footnote w:id="6">
    <w:p w14:paraId="47D5410A" w14:textId="77777777" w:rsidR="00D11FA8" w:rsidRPr="00A97C0F" w:rsidRDefault="00D11FA8" w:rsidP="00D11FA8">
      <w:pPr>
        <w:spacing w:after="0" w:line="240" w:lineRule="auto"/>
        <w:jc w:val="both"/>
      </w:pPr>
      <w:r w:rsidRPr="00A97C0F">
        <w:rPr>
          <w:rFonts w:ascii="Georgia" w:hAnsi="Georgia"/>
          <w:sz w:val="20"/>
          <w:szCs w:val="20"/>
          <w:vertAlign w:val="superscript"/>
        </w:rPr>
        <w:footnoteRef/>
      </w:r>
      <w:r w:rsidRPr="00A97C0F">
        <w:rPr>
          <w:rFonts w:ascii="Georgia" w:hAnsi="Georgia"/>
          <w:sz w:val="20"/>
          <w:szCs w:val="20"/>
        </w:rPr>
        <w:t xml:space="preserve"> OECD (2020), Tax Administration 3.0: The Digital Transformation of Tax Administration, OECD, Paris.</w:t>
      </w:r>
    </w:p>
  </w:footnote>
  <w:footnote w:id="7">
    <w:p w14:paraId="5B2D066E" w14:textId="77777777" w:rsidR="00D11FA8" w:rsidRPr="001B6AE9" w:rsidRDefault="00D11FA8" w:rsidP="00D11FA8">
      <w:pPr>
        <w:pStyle w:val="Testonotaapidipagina"/>
        <w:jc w:val="both"/>
        <w:rPr>
          <w:rFonts w:ascii="Georgia" w:hAnsi="Georgia"/>
          <w:lang w:val="en-US"/>
        </w:rPr>
      </w:pPr>
      <w:r w:rsidRPr="001B6AE9">
        <w:rPr>
          <w:rFonts w:ascii="Georgia" w:hAnsi="Georgia"/>
          <w:vertAlign w:val="superscript"/>
          <w:lang w:val="en-US"/>
        </w:rPr>
        <w:footnoteRef/>
      </w:r>
      <w:r w:rsidRPr="001B6AE9">
        <w:rPr>
          <w:rFonts w:ascii="Georgia" w:hAnsi="Georgia"/>
          <w:lang w:val="en-US"/>
        </w:rPr>
        <w:t xml:space="preserve"> </w:t>
      </w:r>
      <w:r w:rsidRPr="00080EEA">
        <w:rPr>
          <w:rFonts w:ascii="Georgia" w:hAnsi="Georgia"/>
          <w:smallCaps/>
          <w:lang w:val="en-US"/>
        </w:rPr>
        <w:t>I.J. Mosquera Valderrama</w:t>
      </w:r>
      <w:r w:rsidRPr="001B6AE9">
        <w:rPr>
          <w:rFonts w:ascii="Georgia" w:hAnsi="Georgia"/>
          <w:lang w:val="en-US"/>
        </w:rPr>
        <w:t xml:space="preserve">, </w:t>
      </w:r>
      <w:r w:rsidRPr="00080EEA">
        <w:rPr>
          <w:rFonts w:ascii="Georgia" w:hAnsi="Georgia"/>
          <w:i/>
          <w:iCs/>
          <w:lang w:val="en-US"/>
        </w:rPr>
        <w:t>The Rights of Multinationals in the Global Transparency Framework: McCarthyism?,</w:t>
      </w:r>
      <w:r w:rsidRPr="001B6AE9">
        <w:rPr>
          <w:rFonts w:ascii="Georgia" w:hAnsi="Georgia"/>
          <w:lang w:val="en-US"/>
        </w:rPr>
        <w:t xml:space="preserve"> 18 </w:t>
      </w:r>
      <w:proofErr w:type="spellStart"/>
      <w:r w:rsidRPr="001B6AE9">
        <w:rPr>
          <w:rFonts w:ascii="Georgia" w:hAnsi="Georgia"/>
          <w:lang w:val="en-US"/>
        </w:rPr>
        <w:t>Derivs</w:t>
      </w:r>
      <w:proofErr w:type="spellEnd"/>
      <w:r w:rsidRPr="001B6AE9">
        <w:rPr>
          <w:rFonts w:ascii="Georgia" w:hAnsi="Georgia"/>
          <w:lang w:val="en-US"/>
        </w:rPr>
        <w:t xml:space="preserve">. &amp; Fin. </w:t>
      </w:r>
      <w:proofErr w:type="spellStart"/>
      <w:r w:rsidRPr="001B6AE9">
        <w:rPr>
          <w:rFonts w:ascii="Georgia" w:hAnsi="Georgia"/>
          <w:lang w:val="en-US"/>
        </w:rPr>
        <w:t>Instrums</w:t>
      </w:r>
      <w:proofErr w:type="spellEnd"/>
      <w:r w:rsidRPr="001B6AE9">
        <w:rPr>
          <w:rFonts w:ascii="Georgia" w:hAnsi="Georgia"/>
          <w:lang w:val="en-US"/>
        </w:rPr>
        <w:t>. 1 (2016).</w:t>
      </w:r>
    </w:p>
  </w:footnote>
  <w:footnote w:id="8">
    <w:p w14:paraId="695C9615" w14:textId="77777777" w:rsidR="00D11FA8" w:rsidRPr="001B6AE9" w:rsidRDefault="00D11FA8" w:rsidP="00D11FA8">
      <w:pPr>
        <w:spacing w:after="0" w:line="240" w:lineRule="auto"/>
        <w:jc w:val="both"/>
        <w:rPr>
          <w:rFonts w:ascii="Georgia" w:hAnsi="Georgia"/>
          <w:sz w:val="20"/>
          <w:szCs w:val="20"/>
        </w:rPr>
      </w:pPr>
      <w:r w:rsidRPr="001B6AE9">
        <w:rPr>
          <w:rStyle w:val="Rimandonotaapidipagina"/>
          <w:rFonts w:ascii="Georgia" w:hAnsi="Georgia"/>
          <w:sz w:val="20"/>
          <w:szCs w:val="20"/>
        </w:rPr>
        <w:footnoteRef/>
      </w:r>
      <w:r w:rsidRPr="001B6AE9">
        <w:rPr>
          <w:rFonts w:ascii="Georgia" w:hAnsi="Georgia"/>
          <w:sz w:val="20"/>
          <w:szCs w:val="20"/>
        </w:rPr>
        <w:t xml:space="preserve"> The purpose of approximating the different legislation can be reached through: regional harmonization such as, in the EU context, the GDPR; recognition of “equivalency” and “adequacy” of other States’ legislation; cross border cooperation between authorities; regional trade agreements and contractual privacy rules. </w:t>
      </w:r>
    </w:p>
  </w:footnote>
  <w:footnote w:id="9">
    <w:p w14:paraId="1FF68197" w14:textId="77777777" w:rsidR="00D11FA8" w:rsidRPr="001B6AE9" w:rsidRDefault="00D11FA8" w:rsidP="00D11FA8">
      <w:pPr>
        <w:pStyle w:val="Testonotaapidipagina"/>
        <w:jc w:val="both"/>
        <w:rPr>
          <w:rFonts w:ascii="Georgia" w:hAnsi="Georgia"/>
          <w:lang w:val="en-US"/>
        </w:rPr>
      </w:pPr>
      <w:r w:rsidRPr="001B6AE9">
        <w:rPr>
          <w:rStyle w:val="Rimandonotaapidipagina"/>
          <w:rFonts w:ascii="Georgia" w:hAnsi="Georgia"/>
        </w:rPr>
        <w:footnoteRef/>
      </w:r>
      <w:r w:rsidRPr="001B6AE9">
        <w:rPr>
          <w:rFonts w:ascii="Georgia" w:hAnsi="Georgia"/>
          <w:lang w:val="en-US"/>
        </w:rPr>
        <w:t xml:space="preserve"> More in detail, according to OECD Guidelines the basic principles that national frameworks should apply are: collection limitation principle; data quality principle; purpose specification principle; use limitation principle; security safeguards principle; openness principle; individual participation principle; accountability principle.</w:t>
      </w:r>
    </w:p>
  </w:footnote>
  <w:footnote w:id="10">
    <w:p w14:paraId="4ED64F27" w14:textId="77777777" w:rsidR="00D11FA8" w:rsidRPr="001B6AE9" w:rsidRDefault="00D11FA8" w:rsidP="00D11FA8">
      <w:pPr>
        <w:pStyle w:val="Testonotaapidipagina"/>
        <w:jc w:val="both"/>
        <w:rPr>
          <w:rFonts w:ascii="Georgia" w:hAnsi="Georgia"/>
          <w:lang w:val="en-US"/>
        </w:rPr>
      </w:pPr>
      <w:r w:rsidRPr="001B6AE9">
        <w:rPr>
          <w:rFonts w:ascii="Georgia" w:hAnsi="Georgia"/>
          <w:vertAlign w:val="superscript"/>
          <w:lang w:val="en-US"/>
        </w:rPr>
        <w:footnoteRef/>
      </w:r>
      <w:r w:rsidRPr="001B6AE9">
        <w:rPr>
          <w:rFonts w:ascii="Georgia" w:hAnsi="Georgia"/>
          <w:lang w:val="en-US"/>
        </w:rPr>
        <w:t xml:space="preserve"> OECD (2019) Taxpayers’ rights and obligations – A survey of the legal situation in OECD countries. The document was approved by OECD Council on 27 April 1990. </w:t>
      </w:r>
    </w:p>
  </w:footnote>
  <w:footnote w:id="11">
    <w:p w14:paraId="0EA76815" w14:textId="77777777" w:rsidR="00D11FA8" w:rsidRPr="001B6AE9" w:rsidRDefault="00D11FA8" w:rsidP="00D11FA8">
      <w:pPr>
        <w:pStyle w:val="Testonotaapidipagina"/>
        <w:jc w:val="both"/>
        <w:rPr>
          <w:rFonts w:ascii="Georgia" w:hAnsi="Georgia"/>
          <w:lang w:val="en-US"/>
        </w:rPr>
      </w:pPr>
      <w:r w:rsidRPr="001B6AE9">
        <w:rPr>
          <w:rFonts w:ascii="Georgia" w:hAnsi="Georgia"/>
          <w:vertAlign w:val="superscript"/>
          <w:lang w:val="en-US"/>
        </w:rPr>
        <w:footnoteRef/>
      </w:r>
      <w:r w:rsidRPr="001B6AE9">
        <w:rPr>
          <w:rFonts w:ascii="Georgia" w:hAnsi="Georgia"/>
          <w:lang w:val="en-US"/>
        </w:rPr>
        <w:t xml:space="preserve"> OECD (2003), Centre for Tax Policy and Administration, Practice Note – Taxpayers’ Rights and Obligations.</w:t>
      </w:r>
    </w:p>
  </w:footnote>
  <w:footnote w:id="12">
    <w:p w14:paraId="4750AA19" w14:textId="77777777" w:rsidR="00D11FA8" w:rsidRPr="001B6AE9" w:rsidRDefault="00D11FA8" w:rsidP="00D11FA8">
      <w:pPr>
        <w:pStyle w:val="Testonotaapidipagina"/>
        <w:jc w:val="both"/>
        <w:rPr>
          <w:rFonts w:ascii="Georgia" w:hAnsi="Georgia"/>
          <w:lang w:val="en-US"/>
        </w:rPr>
      </w:pPr>
      <w:r w:rsidRPr="001B6AE9">
        <w:rPr>
          <w:rStyle w:val="Rimandonotaapidipagina"/>
          <w:rFonts w:ascii="Georgia" w:hAnsi="Georgia"/>
        </w:rPr>
        <w:footnoteRef/>
      </w:r>
      <w:r w:rsidRPr="001B6AE9">
        <w:rPr>
          <w:rFonts w:ascii="Georgia" w:hAnsi="Georgia"/>
          <w:lang w:val="en-US"/>
        </w:rPr>
        <w:t xml:space="preserve"> OECD (2015), Tax Administration 2015: Comparative Information on OECD and Other Advanced and Emerging Economies p. 282.</w:t>
      </w:r>
    </w:p>
  </w:footnote>
  <w:footnote w:id="13">
    <w:p w14:paraId="7C9A4AF5" w14:textId="77777777" w:rsidR="00D11FA8" w:rsidRPr="001B6AE9" w:rsidRDefault="00D11FA8" w:rsidP="00D11FA8">
      <w:pPr>
        <w:pStyle w:val="Testonotaapidipagina"/>
        <w:jc w:val="both"/>
        <w:rPr>
          <w:rFonts w:ascii="Georgia" w:hAnsi="Georgia"/>
          <w:lang w:val="en-US"/>
        </w:rPr>
      </w:pPr>
      <w:r w:rsidRPr="001B6AE9">
        <w:rPr>
          <w:rFonts w:ascii="Georgia" w:hAnsi="Georgia"/>
          <w:vertAlign w:val="superscript"/>
          <w:lang w:val="en-US"/>
        </w:rPr>
        <w:footnoteRef/>
      </w:r>
      <w:r w:rsidRPr="001B6AE9">
        <w:rPr>
          <w:rFonts w:ascii="Georgia" w:hAnsi="Georgia"/>
          <w:lang w:val="en-US"/>
        </w:rPr>
        <w:t xml:space="preserve"> OECD (2012), Keeping It Safe: The OECD Guide on the Protection of Confidentiality of Information Exchanged for Tax Purposes p. 10; OECD, Recommendation of the Council concerning Guidelines Governing the Protection of Privacy and Transborder Flows of Personal Data, C(80)58 final, as amended on 11 July 2013 by C(2013)79.</w:t>
      </w:r>
    </w:p>
  </w:footnote>
  <w:footnote w:id="14">
    <w:p w14:paraId="463A9CF4" w14:textId="77777777" w:rsidR="00D11FA8" w:rsidRPr="00881D1E" w:rsidRDefault="00D11FA8" w:rsidP="00D11FA8">
      <w:pPr>
        <w:pStyle w:val="Testonotaapidipagina"/>
        <w:rPr>
          <w:lang w:val="en-US"/>
        </w:rPr>
      </w:pPr>
      <w:r>
        <w:rPr>
          <w:rStyle w:val="Rimandonotaapidipagina"/>
        </w:rPr>
        <w:footnoteRef/>
      </w:r>
      <w:r w:rsidRPr="00881D1E">
        <w:rPr>
          <w:lang w:val="en-US"/>
        </w:rPr>
        <w:t xml:space="preserve"> </w:t>
      </w:r>
      <w:r w:rsidRPr="00A97C0F">
        <w:rPr>
          <w:rFonts w:ascii="Georgia" w:hAnsi="Georgia"/>
          <w:lang w:val="en-US"/>
        </w:rPr>
        <w:t>OECD (2020), Tax Administration 3.0</w:t>
      </w:r>
      <w:r>
        <w:rPr>
          <w:rFonts w:ascii="Georgia" w:hAnsi="Georgia"/>
          <w:lang w:val="en-US"/>
        </w:rPr>
        <w:t xml:space="preserve">, above. </w:t>
      </w:r>
    </w:p>
  </w:footnote>
  <w:footnote w:id="15">
    <w:p w14:paraId="51A41189" w14:textId="77777777" w:rsidR="00D11FA8" w:rsidRPr="001B6AE9" w:rsidRDefault="00D11FA8" w:rsidP="00D11FA8">
      <w:pPr>
        <w:pStyle w:val="Testonotaapidipagina"/>
        <w:jc w:val="both"/>
        <w:rPr>
          <w:rFonts w:ascii="Georgia" w:hAnsi="Georgia"/>
          <w:lang w:val="en-US"/>
        </w:rPr>
      </w:pPr>
      <w:r w:rsidRPr="001B6AE9">
        <w:rPr>
          <w:rFonts w:ascii="Georgia" w:hAnsi="Georgia"/>
          <w:vertAlign w:val="superscript"/>
          <w:lang w:val="en-US"/>
        </w:rPr>
        <w:footnoteRef/>
      </w:r>
      <w:r w:rsidRPr="001B6AE9">
        <w:rPr>
          <w:rFonts w:ascii="Georgia" w:hAnsi="Georgia"/>
          <w:vertAlign w:val="superscript"/>
          <w:lang w:val="en-US"/>
        </w:rPr>
        <w:t xml:space="preserve"> </w:t>
      </w:r>
      <w:r w:rsidRPr="00080EEA">
        <w:rPr>
          <w:rFonts w:ascii="Georgia" w:hAnsi="Georgia"/>
          <w:smallCaps/>
          <w:lang w:val="en-US"/>
        </w:rPr>
        <w:t>L. Neto</w:t>
      </w:r>
      <w:r w:rsidRPr="001B6AE9">
        <w:rPr>
          <w:rFonts w:ascii="Georgia" w:hAnsi="Georgia"/>
          <w:lang w:val="en-US"/>
        </w:rPr>
        <w:t xml:space="preserve">, </w:t>
      </w:r>
      <w:r w:rsidRPr="00080EEA">
        <w:rPr>
          <w:rFonts w:ascii="Georgia" w:hAnsi="Georgia"/>
          <w:i/>
          <w:iCs/>
          <w:lang w:val="en-US"/>
        </w:rPr>
        <w:t>The Blockchain Revolution for Transfer Pricing Documentation</w:t>
      </w:r>
      <w:r w:rsidRPr="001B6AE9">
        <w:rPr>
          <w:rFonts w:ascii="Georgia" w:hAnsi="Georgia"/>
          <w:lang w:val="en-US"/>
        </w:rPr>
        <w:t xml:space="preserve">: If Not in 2020, Then When’ in Taxing the Digital Economy: the Eu Proposals and Other Insights (P. </w:t>
      </w:r>
      <w:proofErr w:type="spellStart"/>
      <w:r w:rsidRPr="001B6AE9">
        <w:rPr>
          <w:rFonts w:ascii="Georgia" w:hAnsi="Georgia"/>
          <w:lang w:val="en-US"/>
        </w:rPr>
        <w:t>Pistone</w:t>
      </w:r>
      <w:proofErr w:type="spellEnd"/>
      <w:r w:rsidRPr="001B6AE9">
        <w:rPr>
          <w:rFonts w:ascii="Georgia" w:hAnsi="Georgia"/>
          <w:lang w:val="en-US"/>
        </w:rPr>
        <w:t xml:space="preserve"> &amp; D. Weber eds., IBFD 2019). </w:t>
      </w:r>
    </w:p>
  </w:footnote>
  <w:footnote w:id="16">
    <w:p w14:paraId="1E4186E5" w14:textId="77777777" w:rsidR="00D11FA8" w:rsidRPr="001B6AE9" w:rsidRDefault="00D11FA8" w:rsidP="00D11FA8">
      <w:pPr>
        <w:pStyle w:val="Testonotaapidipagina"/>
        <w:jc w:val="both"/>
        <w:rPr>
          <w:rFonts w:ascii="Georgia" w:hAnsi="Georgia"/>
          <w:lang w:val="en-US"/>
        </w:rPr>
      </w:pPr>
      <w:r w:rsidRPr="001B6AE9">
        <w:rPr>
          <w:rStyle w:val="Rimandonotaapidipagina"/>
          <w:rFonts w:ascii="Georgia" w:hAnsi="Georgia"/>
        </w:rPr>
        <w:footnoteRef/>
      </w:r>
      <w:r w:rsidRPr="001B6AE9">
        <w:rPr>
          <w:rFonts w:ascii="Georgia" w:hAnsi="Georgia"/>
          <w:lang w:val="en-US"/>
        </w:rPr>
        <w:t xml:space="preserve"> IBM Research, Blockchain/DLT: A game-changer in managing MNCs intercompany transactions, IBM Think Blog Fintech Whitepaper (Nov. 2017).</w:t>
      </w:r>
    </w:p>
  </w:footnote>
  <w:footnote w:id="17">
    <w:p w14:paraId="52E0B5AA" w14:textId="77777777" w:rsidR="00D11FA8" w:rsidRPr="001B6AE9" w:rsidRDefault="00D11FA8" w:rsidP="00D11FA8">
      <w:pPr>
        <w:pStyle w:val="Testonotaapidipagina"/>
        <w:rPr>
          <w:rFonts w:ascii="Georgia" w:hAnsi="Georgia"/>
          <w:lang w:val="en-US"/>
        </w:rPr>
      </w:pPr>
      <w:r w:rsidRPr="001B6AE9">
        <w:rPr>
          <w:rFonts w:ascii="Georgia" w:hAnsi="Georgia"/>
          <w:vertAlign w:val="superscript"/>
          <w:lang w:val="en-US"/>
        </w:rPr>
        <w:footnoteRef/>
      </w:r>
      <w:r w:rsidRPr="001B6AE9">
        <w:rPr>
          <w:rFonts w:ascii="Georgia" w:hAnsi="Georgia"/>
          <w:lang w:val="en-US"/>
        </w:rPr>
        <w:t xml:space="preserve"> </w:t>
      </w:r>
      <w:r w:rsidRPr="00080EEA">
        <w:rPr>
          <w:rFonts w:ascii="Georgia" w:hAnsi="Georgia"/>
          <w:smallCaps/>
          <w:lang w:val="en-US"/>
        </w:rPr>
        <w:t xml:space="preserve">S.K. </w:t>
      </w:r>
      <w:proofErr w:type="spellStart"/>
      <w:r w:rsidRPr="00080EEA">
        <w:rPr>
          <w:rFonts w:ascii="Georgia" w:hAnsi="Georgia"/>
          <w:smallCaps/>
          <w:lang w:val="en-US"/>
        </w:rPr>
        <w:t>Bilaney</w:t>
      </w:r>
      <w:proofErr w:type="spellEnd"/>
      <w:r w:rsidRPr="001B6AE9">
        <w:rPr>
          <w:rFonts w:ascii="Georgia" w:hAnsi="Georgia"/>
          <w:lang w:val="en-US"/>
        </w:rPr>
        <w:t xml:space="preserve">, </w:t>
      </w:r>
      <w:r w:rsidRPr="00080EEA">
        <w:rPr>
          <w:rFonts w:ascii="Georgia" w:hAnsi="Georgia"/>
          <w:i/>
          <w:iCs/>
          <w:lang w:val="en-US"/>
        </w:rPr>
        <w:t>From Value Chain to Blockchain – Transfer Pricing 2.0</w:t>
      </w:r>
      <w:r w:rsidRPr="001B6AE9">
        <w:rPr>
          <w:rFonts w:ascii="Georgia" w:hAnsi="Georgia"/>
          <w:lang w:val="en-US"/>
        </w:rPr>
        <w:t xml:space="preserve"> , 25 Intl. Transfer Pricing J. 2018, 4. </w:t>
      </w:r>
    </w:p>
  </w:footnote>
  <w:footnote w:id="18">
    <w:p w14:paraId="11A616A0" w14:textId="77777777" w:rsidR="00D11FA8" w:rsidRPr="001B6AE9" w:rsidRDefault="00D11FA8" w:rsidP="00D11FA8">
      <w:pPr>
        <w:pStyle w:val="Testonotaapidipagina"/>
        <w:jc w:val="both"/>
        <w:rPr>
          <w:rFonts w:ascii="Georgia" w:hAnsi="Georgia"/>
          <w:lang w:val="en-US"/>
        </w:rPr>
      </w:pPr>
      <w:r w:rsidRPr="001B6AE9">
        <w:rPr>
          <w:rFonts w:ascii="Georgia" w:hAnsi="Georgia"/>
          <w:vertAlign w:val="superscript"/>
          <w:lang w:val="en-US"/>
        </w:rPr>
        <w:footnoteRef/>
      </w:r>
      <w:r w:rsidRPr="001B6AE9">
        <w:rPr>
          <w:rFonts w:ascii="Georgia" w:hAnsi="Georgia"/>
          <w:vertAlign w:val="superscript"/>
          <w:lang w:val="en-US"/>
        </w:rPr>
        <w:t xml:space="preserve"> </w:t>
      </w:r>
      <w:r w:rsidRPr="00080EEA">
        <w:rPr>
          <w:rFonts w:ascii="Georgia" w:hAnsi="Georgia"/>
          <w:smallCaps/>
          <w:lang w:val="en-US"/>
        </w:rPr>
        <w:t xml:space="preserve">V. </w:t>
      </w:r>
      <w:proofErr w:type="spellStart"/>
      <w:r w:rsidRPr="00080EEA">
        <w:rPr>
          <w:rFonts w:ascii="Georgia" w:hAnsi="Georgia"/>
          <w:smallCaps/>
          <w:lang w:val="en-US"/>
        </w:rPr>
        <w:t>Wöhrer</w:t>
      </w:r>
      <w:proofErr w:type="spellEnd"/>
      <w:r w:rsidRPr="001B6AE9">
        <w:rPr>
          <w:rFonts w:ascii="Georgia" w:hAnsi="Georgia"/>
          <w:lang w:val="en-US"/>
        </w:rPr>
        <w:t xml:space="preserve">, </w:t>
      </w:r>
      <w:r w:rsidRPr="00080EEA">
        <w:rPr>
          <w:rFonts w:ascii="Georgia" w:hAnsi="Georgia"/>
          <w:i/>
          <w:iCs/>
          <w:lang w:val="en-US"/>
        </w:rPr>
        <w:t>Data Protection and Taxpayers’ Rights: Challenges Created by Automatic Exchange of Information</w:t>
      </w:r>
      <w:r w:rsidRPr="001B6AE9">
        <w:rPr>
          <w:rFonts w:ascii="Georgia" w:hAnsi="Georgia"/>
          <w:lang w:val="en-US"/>
        </w:rPr>
        <w:t xml:space="preserve">, IBFD, 2018, p. 173. </w:t>
      </w:r>
    </w:p>
  </w:footnote>
  <w:footnote w:id="19">
    <w:p w14:paraId="2BBE9FC3" w14:textId="77777777" w:rsidR="00D11FA8" w:rsidRPr="001B6AE9" w:rsidRDefault="00D11FA8" w:rsidP="00D11FA8">
      <w:pPr>
        <w:pStyle w:val="Testonotaapidipagina"/>
        <w:jc w:val="both"/>
        <w:rPr>
          <w:rFonts w:ascii="Georgia" w:hAnsi="Georgia"/>
          <w:lang w:val="en-US"/>
        </w:rPr>
      </w:pPr>
      <w:r w:rsidRPr="001B6AE9">
        <w:rPr>
          <w:rFonts w:ascii="Georgia" w:hAnsi="Georgia"/>
          <w:vertAlign w:val="superscript"/>
          <w:lang w:val="en-US"/>
        </w:rPr>
        <w:footnoteRef/>
      </w:r>
      <w:r w:rsidRPr="001B6AE9">
        <w:rPr>
          <w:rFonts w:ascii="Georgia" w:hAnsi="Georgia"/>
          <w:vertAlign w:val="superscript"/>
          <w:lang w:val="en-US"/>
        </w:rPr>
        <w:t xml:space="preserve"> </w:t>
      </w:r>
      <w:r w:rsidRPr="001B6AE9">
        <w:rPr>
          <w:rFonts w:ascii="Georgia" w:hAnsi="Georgia"/>
          <w:lang w:val="en-US"/>
        </w:rPr>
        <w:t>OECD, Transfer Pricing Documentation and Country-by-Country Reporting – Action 13: 2015 Final Report, p. 10 (OECD 2015).</w:t>
      </w:r>
    </w:p>
  </w:footnote>
  <w:footnote w:id="20">
    <w:p w14:paraId="4B03D90D" w14:textId="77777777" w:rsidR="00D11FA8" w:rsidRPr="001B6AE9" w:rsidRDefault="00D11FA8" w:rsidP="00D11FA8">
      <w:pPr>
        <w:pStyle w:val="Testonotaapidipagina"/>
        <w:jc w:val="both"/>
        <w:rPr>
          <w:rFonts w:ascii="Georgia" w:hAnsi="Georgia"/>
          <w:lang w:val="en-US"/>
        </w:rPr>
      </w:pPr>
      <w:r w:rsidRPr="001B6AE9">
        <w:rPr>
          <w:rFonts w:ascii="Georgia" w:hAnsi="Georgia"/>
          <w:vertAlign w:val="superscript"/>
          <w:lang w:val="en-US"/>
        </w:rPr>
        <w:footnoteRef/>
      </w:r>
      <w:r w:rsidRPr="001B6AE9">
        <w:rPr>
          <w:rFonts w:ascii="Georgia" w:hAnsi="Georgia"/>
          <w:vertAlign w:val="superscript"/>
          <w:lang w:val="en-US"/>
        </w:rPr>
        <w:t xml:space="preserve"> </w:t>
      </w:r>
      <w:r w:rsidRPr="001B6AE9">
        <w:rPr>
          <w:rFonts w:ascii="Georgia" w:hAnsi="Georgia"/>
          <w:lang w:val="en-US"/>
        </w:rPr>
        <w:t>These six categories are (</w:t>
      </w:r>
      <w:proofErr w:type="spellStart"/>
      <w:r w:rsidRPr="001B6AE9">
        <w:rPr>
          <w:rFonts w:ascii="Georgia" w:hAnsi="Georgia"/>
          <w:lang w:val="en-US"/>
        </w:rPr>
        <w:t>i</w:t>
      </w:r>
      <w:proofErr w:type="spellEnd"/>
      <w:r w:rsidRPr="001B6AE9">
        <w:rPr>
          <w:rFonts w:ascii="Georgia" w:hAnsi="Georgia"/>
          <w:lang w:val="en-US"/>
        </w:rPr>
        <w:t>) rulings relating to preferential regimes; (ii) unilateral APAs or other cross-border unilateral rulings in respect of transfer pricing; (iii) cross-border rulings providing for a downward adjustment of taxable profits; (iv) permanent establishment (PE) rulings; (v) related party conduit rulings; and (vi) any other type of ruling agreed by the FHTP that in the absence of spontaneous information exchange gives rise to BEPS concerns.</w:t>
      </w:r>
    </w:p>
  </w:footnote>
  <w:footnote w:id="21">
    <w:p w14:paraId="6DAAA010" w14:textId="77777777" w:rsidR="00D11FA8" w:rsidRPr="001B6AE9" w:rsidRDefault="00D11FA8" w:rsidP="00D11FA8">
      <w:pPr>
        <w:pStyle w:val="Testonotaapidipagina"/>
        <w:jc w:val="both"/>
        <w:rPr>
          <w:rFonts w:ascii="Georgia" w:hAnsi="Georgia"/>
          <w:lang w:val="en-US"/>
        </w:rPr>
      </w:pPr>
      <w:r w:rsidRPr="001B6AE9">
        <w:rPr>
          <w:rFonts w:ascii="Georgia" w:hAnsi="Georgia"/>
          <w:vertAlign w:val="superscript"/>
          <w:lang w:val="en-US"/>
        </w:rPr>
        <w:footnoteRef/>
      </w:r>
      <w:r w:rsidRPr="001B6AE9">
        <w:rPr>
          <w:rFonts w:ascii="Georgia" w:hAnsi="Georgia"/>
          <w:lang w:val="en-US"/>
        </w:rPr>
        <w:t xml:space="preserve"> OECD (2015), Countering Harmful Tax Practices More Effectively, Taking into Account Transparency and Substance, Action 5 - 2015 Final Report, OECD/G20 Base Erosion and Profit Shifting Project, OECD Publishing, Paris. </w:t>
      </w:r>
    </w:p>
  </w:footnote>
  <w:footnote w:id="22">
    <w:p w14:paraId="45CB6592" w14:textId="77777777" w:rsidR="00D11FA8" w:rsidRPr="001B6AE9" w:rsidRDefault="00D11FA8" w:rsidP="00D11FA8">
      <w:pPr>
        <w:pStyle w:val="Testonotaapidipagina"/>
        <w:rPr>
          <w:rFonts w:ascii="Georgia" w:hAnsi="Georgia"/>
          <w:lang w:val="en-US"/>
        </w:rPr>
      </w:pPr>
      <w:r w:rsidRPr="001B6AE9">
        <w:rPr>
          <w:rStyle w:val="Rimandonotaapidipagina"/>
          <w:rFonts w:ascii="Georgia" w:hAnsi="Georgia"/>
        </w:rPr>
        <w:footnoteRef/>
      </w:r>
      <w:r w:rsidRPr="001B6AE9">
        <w:rPr>
          <w:rFonts w:ascii="Georgia" w:hAnsi="Georgia"/>
          <w:lang w:val="en-US"/>
        </w:rPr>
        <w:t xml:space="preserve"> </w:t>
      </w:r>
      <w:r w:rsidRPr="00080EEA">
        <w:rPr>
          <w:rFonts w:ascii="Georgia" w:hAnsi="Georgia"/>
          <w:smallCaps/>
          <w:lang w:val="en-US"/>
        </w:rPr>
        <w:t xml:space="preserve">V. </w:t>
      </w:r>
      <w:proofErr w:type="spellStart"/>
      <w:r w:rsidRPr="00080EEA">
        <w:rPr>
          <w:rFonts w:ascii="Georgia" w:hAnsi="Georgia"/>
          <w:smallCaps/>
          <w:lang w:val="en-US"/>
        </w:rPr>
        <w:t>Wöhrer</w:t>
      </w:r>
      <w:proofErr w:type="spellEnd"/>
      <w:r w:rsidRPr="001B6AE9">
        <w:rPr>
          <w:rFonts w:ascii="Georgia" w:hAnsi="Georgia"/>
          <w:lang w:val="en-US"/>
        </w:rPr>
        <w:t>, Data Protection and Taxpayers’ Rights</w:t>
      </w:r>
      <w:r w:rsidRPr="001B6AE9">
        <w:rPr>
          <w:rFonts w:ascii="Georgia" w:hAnsi="Georgia"/>
          <w:i/>
          <w:iCs/>
          <w:lang w:val="en-US"/>
        </w:rPr>
        <w:t>, above</w:t>
      </w:r>
      <w:r w:rsidRPr="001B6AE9">
        <w:rPr>
          <w:rFonts w:ascii="Georgia" w:hAnsi="Georgia"/>
          <w:lang w:val="en-US"/>
        </w:rPr>
        <w:t>, p. 336.</w:t>
      </w:r>
    </w:p>
  </w:footnote>
  <w:footnote w:id="23">
    <w:p w14:paraId="0000009C" w14:textId="77777777" w:rsidR="00956D20" w:rsidRDefault="00E90E31">
      <w:pPr>
        <w:pBdr>
          <w:top w:val="nil"/>
          <w:left w:val="nil"/>
          <w:bottom w:val="nil"/>
          <w:right w:val="nil"/>
          <w:between w:val="nil"/>
        </w:pBdr>
        <w:spacing w:after="0" w:line="240" w:lineRule="auto"/>
        <w:jc w:val="both"/>
        <w:rPr>
          <w:rFonts w:ascii="Georgia" w:eastAsia="Georgia" w:hAnsi="Georgia" w:cs="Georgia"/>
          <w:color w:val="000000"/>
          <w:sz w:val="20"/>
          <w:szCs w:val="20"/>
        </w:rPr>
      </w:pPr>
      <w:r>
        <w:rPr>
          <w:vertAlign w:val="superscript"/>
        </w:rPr>
        <w:footnoteRef/>
      </w:r>
      <w:r>
        <w:rPr>
          <w:rFonts w:ascii="Georgia" w:eastAsia="Georgia" w:hAnsi="Georgia" w:cs="Georgia"/>
          <w:color w:val="000000"/>
          <w:sz w:val="20"/>
          <w:szCs w:val="20"/>
        </w:rPr>
        <w:t xml:space="preserve"> See, recently, </w:t>
      </w:r>
      <w:r>
        <w:rPr>
          <w:rFonts w:ascii="Georgia" w:eastAsia="Georgia" w:hAnsi="Georgia" w:cs="Georgia"/>
          <w:smallCaps/>
          <w:color w:val="000000"/>
          <w:sz w:val="20"/>
          <w:szCs w:val="20"/>
        </w:rPr>
        <w:t xml:space="preserve">Pereira, R. </w:t>
      </w:r>
      <w:proofErr w:type="spellStart"/>
      <w:r>
        <w:rPr>
          <w:rFonts w:ascii="Georgia" w:eastAsia="Georgia" w:hAnsi="Georgia" w:cs="Georgia"/>
          <w:smallCaps/>
          <w:color w:val="000000"/>
          <w:sz w:val="20"/>
          <w:szCs w:val="20"/>
        </w:rPr>
        <w:t>Codorniz</w:t>
      </w:r>
      <w:proofErr w:type="spellEnd"/>
      <w:r>
        <w:rPr>
          <w:rFonts w:ascii="Georgia" w:eastAsia="Georgia" w:hAnsi="Georgia" w:cs="Georgia"/>
          <w:smallCaps/>
          <w:color w:val="000000"/>
          <w:sz w:val="20"/>
          <w:szCs w:val="20"/>
        </w:rPr>
        <w:t xml:space="preserve"> </w:t>
      </w:r>
      <w:proofErr w:type="spellStart"/>
      <w:r>
        <w:rPr>
          <w:rFonts w:ascii="Georgia" w:eastAsia="Georgia" w:hAnsi="Georgia" w:cs="Georgia"/>
          <w:smallCaps/>
          <w:color w:val="000000"/>
          <w:sz w:val="20"/>
          <w:szCs w:val="20"/>
        </w:rPr>
        <w:t>Leite</w:t>
      </w:r>
      <w:proofErr w:type="spellEnd"/>
      <w:r>
        <w:rPr>
          <w:rFonts w:ascii="Georgia" w:eastAsia="Georgia" w:hAnsi="Georgia" w:cs="Georgia"/>
          <w:smallCaps/>
          <w:color w:val="000000"/>
          <w:sz w:val="20"/>
          <w:szCs w:val="20"/>
        </w:rPr>
        <w:t xml:space="preserve">, </w:t>
      </w:r>
      <w:r>
        <w:rPr>
          <w:rFonts w:ascii="Georgia" w:eastAsia="Georgia" w:hAnsi="Georgia" w:cs="Georgia"/>
          <w:i/>
          <w:color w:val="000000"/>
          <w:sz w:val="20"/>
          <w:szCs w:val="20"/>
        </w:rPr>
        <w:t>The emergence of transparency and exchange of information for tax purposes on request as an international tax custom</w:t>
      </w:r>
      <w:r>
        <w:rPr>
          <w:rFonts w:ascii="Georgia" w:eastAsia="Georgia" w:hAnsi="Georgia" w:cs="Georgia"/>
          <w:color w:val="000000"/>
          <w:sz w:val="20"/>
          <w:szCs w:val="20"/>
        </w:rPr>
        <w:t xml:space="preserve"> in Intertax, 2020, 624</w:t>
      </w:r>
    </w:p>
  </w:footnote>
  <w:footnote w:id="24">
    <w:p w14:paraId="0000009D" w14:textId="77777777" w:rsidR="00956D20" w:rsidRDefault="00E90E31">
      <w:pPr>
        <w:pBdr>
          <w:top w:val="nil"/>
          <w:left w:val="nil"/>
          <w:bottom w:val="nil"/>
          <w:right w:val="nil"/>
          <w:between w:val="nil"/>
        </w:pBdr>
        <w:spacing w:after="0" w:line="240" w:lineRule="auto"/>
        <w:jc w:val="both"/>
        <w:rPr>
          <w:rFonts w:ascii="Georgia" w:eastAsia="Georgia" w:hAnsi="Georgia" w:cs="Georgia"/>
          <w:color w:val="000000"/>
          <w:sz w:val="20"/>
          <w:szCs w:val="20"/>
        </w:rPr>
      </w:pPr>
      <w:r>
        <w:rPr>
          <w:vertAlign w:val="superscript"/>
        </w:rPr>
        <w:footnoteRef/>
      </w:r>
      <w:r>
        <w:rPr>
          <w:rFonts w:ascii="Georgia" w:eastAsia="Georgia" w:hAnsi="Georgia" w:cs="Georgia"/>
          <w:color w:val="000000"/>
          <w:sz w:val="20"/>
          <w:szCs w:val="20"/>
        </w:rPr>
        <w:t xml:space="preserve"> See r</w:t>
      </w:r>
      <w:r>
        <w:rPr>
          <w:rFonts w:ascii="Georgia" w:eastAsia="Georgia" w:hAnsi="Georgia" w:cs="Georgia"/>
          <w:i/>
          <w:color w:val="000000"/>
          <w:sz w:val="20"/>
          <w:szCs w:val="20"/>
        </w:rPr>
        <w:t xml:space="preserve">etro </w:t>
      </w:r>
      <w:r>
        <w:rPr>
          <w:rFonts w:ascii="Georgia" w:eastAsia="Georgia" w:hAnsi="Georgia" w:cs="Georgia"/>
          <w:color w:val="000000"/>
          <w:sz w:val="20"/>
          <w:szCs w:val="20"/>
        </w:rPr>
        <w:t>par. 2.</w:t>
      </w:r>
    </w:p>
  </w:footnote>
  <w:footnote w:id="25">
    <w:p w14:paraId="0000009E" w14:textId="250914DC" w:rsidR="00956D20" w:rsidRDefault="00E90E31">
      <w:pPr>
        <w:pBdr>
          <w:top w:val="nil"/>
          <w:left w:val="nil"/>
          <w:bottom w:val="nil"/>
          <w:right w:val="nil"/>
          <w:between w:val="nil"/>
        </w:pBdr>
        <w:spacing w:after="0" w:line="240" w:lineRule="auto"/>
        <w:jc w:val="both"/>
        <w:rPr>
          <w:rFonts w:ascii="Georgia" w:eastAsia="Georgia" w:hAnsi="Georgia" w:cs="Georgia"/>
          <w:color w:val="000000"/>
          <w:sz w:val="20"/>
          <w:szCs w:val="20"/>
        </w:rPr>
      </w:pPr>
      <w:r>
        <w:rPr>
          <w:vertAlign w:val="superscript"/>
        </w:rPr>
        <w:footnoteRef/>
      </w:r>
      <w:r>
        <w:rPr>
          <w:rFonts w:ascii="Georgia" w:eastAsia="Georgia" w:hAnsi="Georgia" w:cs="Georgia"/>
          <w:color w:val="000000"/>
          <w:sz w:val="20"/>
          <w:szCs w:val="20"/>
        </w:rPr>
        <w:t xml:space="preserve"> In general, </w:t>
      </w:r>
      <w:r>
        <w:rPr>
          <w:rFonts w:ascii="Georgia" w:eastAsia="Georgia" w:hAnsi="Georgia" w:cs="Georgia"/>
          <w:smallCaps/>
          <w:color w:val="000000"/>
          <w:sz w:val="20"/>
          <w:szCs w:val="20"/>
        </w:rPr>
        <w:t>Falk</w:t>
      </w:r>
      <w:r w:rsidR="005D0BD8">
        <w:rPr>
          <w:rFonts w:ascii="Georgia" w:eastAsia="Georgia" w:hAnsi="Georgia" w:cs="Georgia"/>
          <w:smallCaps/>
          <w:color w:val="000000"/>
          <w:sz w:val="20"/>
          <w:szCs w:val="20"/>
        </w:rPr>
        <w:t xml:space="preserve"> - </w:t>
      </w:r>
      <w:r>
        <w:rPr>
          <w:rFonts w:ascii="Georgia" w:eastAsia="Georgia" w:hAnsi="Georgia" w:cs="Georgia"/>
          <w:smallCaps/>
          <w:color w:val="000000"/>
          <w:sz w:val="20"/>
          <w:szCs w:val="20"/>
        </w:rPr>
        <w:t> </w:t>
      </w:r>
      <w:proofErr w:type="spellStart"/>
      <w:r>
        <w:rPr>
          <w:rFonts w:ascii="Georgia" w:eastAsia="Georgia" w:hAnsi="Georgia" w:cs="Georgia"/>
          <w:smallCaps/>
          <w:color w:val="000000"/>
          <w:sz w:val="20"/>
          <w:szCs w:val="20"/>
        </w:rPr>
        <w:t>Römmele</w:t>
      </w:r>
      <w:proofErr w:type="spellEnd"/>
      <w:r>
        <w:rPr>
          <w:rFonts w:ascii="Georgia" w:eastAsia="Georgia" w:hAnsi="Georgia" w:cs="Georgia"/>
          <w:smallCaps/>
          <w:color w:val="000000"/>
          <w:sz w:val="20"/>
          <w:szCs w:val="20"/>
        </w:rPr>
        <w:t xml:space="preserve">  -  Silverman</w:t>
      </w:r>
      <w:r>
        <w:rPr>
          <w:rFonts w:ascii="Georgia" w:eastAsia="Georgia" w:hAnsi="Georgia" w:cs="Georgia"/>
          <w:color w:val="000000"/>
          <w:sz w:val="20"/>
          <w:szCs w:val="20"/>
        </w:rPr>
        <w:t xml:space="preserve">  </w:t>
      </w:r>
      <w:r>
        <w:rPr>
          <w:rFonts w:ascii="Georgia" w:eastAsia="Georgia" w:hAnsi="Georgia" w:cs="Georgia"/>
          <w:i/>
          <w:color w:val="000000"/>
          <w:sz w:val="20"/>
          <w:szCs w:val="20"/>
        </w:rPr>
        <w:t>Digital Government Leveraging Innovation to Improve Public Sector Performance and Outcomes for Citizens</w:t>
      </w:r>
      <w:r>
        <w:rPr>
          <w:rFonts w:ascii="Georgia" w:eastAsia="Georgia" w:hAnsi="Georgia" w:cs="Georgia"/>
          <w:color w:val="000000"/>
          <w:sz w:val="20"/>
          <w:szCs w:val="20"/>
        </w:rPr>
        <w:t>, Springer, 2017.</w:t>
      </w:r>
    </w:p>
  </w:footnote>
  <w:footnote w:id="26">
    <w:p w14:paraId="0000009F" w14:textId="77777777" w:rsidR="00956D20" w:rsidRDefault="00E90E31">
      <w:pPr>
        <w:pBdr>
          <w:top w:val="nil"/>
          <w:left w:val="nil"/>
          <w:bottom w:val="nil"/>
          <w:right w:val="nil"/>
          <w:between w:val="nil"/>
        </w:pBdr>
        <w:spacing w:after="0" w:line="240" w:lineRule="auto"/>
        <w:jc w:val="both"/>
        <w:rPr>
          <w:rFonts w:ascii="Georgia" w:eastAsia="Georgia" w:hAnsi="Georgia" w:cs="Georgia"/>
          <w:color w:val="000000"/>
          <w:sz w:val="20"/>
          <w:szCs w:val="20"/>
        </w:rPr>
      </w:pPr>
      <w:r>
        <w:rPr>
          <w:vertAlign w:val="superscript"/>
        </w:rPr>
        <w:footnoteRef/>
      </w:r>
      <w:r>
        <w:rPr>
          <w:rFonts w:ascii="Georgia" w:eastAsia="Georgia" w:hAnsi="Georgia" w:cs="Georgia"/>
          <w:color w:val="000000"/>
          <w:sz w:val="20"/>
          <w:szCs w:val="20"/>
        </w:rPr>
        <w:t xml:space="preserve"> See GALETTA, </w:t>
      </w:r>
      <w:r>
        <w:rPr>
          <w:rFonts w:ascii="Georgia" w:eastAsia="Georgia" w:hAnsi="Georgia" w:cs="Georgia"/>
          <w:i/>
          <w:color w:val="000000"/>
          <w:sz w:val="20"/>
          <w:szCs w:val="20"/>
        </w:rPr>
        <w:t>Public Administration in the Era of Database and Information Exchange Networks: Empowering Administrative Power or Just Better Serving the Citizens</w:t>
      </w:r>
      <w:r>
        <w:rPr>
          <w:rFonts w:ascii="Georgia" w:eastAsia="Georgia" w:hAnsi="Georgia" w:cs="Georgia"/>
          <w:color w:val="000000"/>
          <w:sz w:val="20"/>
          <w:szCs w:val="20"/>
        </w:rPr>
        <w:t xml:space="preserve">? In European Public Law, 2019, 171. For an “overview” in the field of business law see </w:t>
      </w:r>
      <w:r>
        <w:rPr>
          <w:rFonts w:ascii="Georgia" w:eastAsia="Georgia" w:hAnsi="Georgia" w:cs="Georgia"/>
          <w:smallCaps/>
          <w:color w:val="000000"/>
          <w:sz w:val="20"/>
          <w:szCs w:val="20"/>
        </w:rPr>
        <w:t>Robertson</w:t>
      </w:r>
      <w:r>
        <w:rPr>
          <w:rFonts w:ascii="Georgia" w:eastAsia="Georgia" w:hAnsi="Georgia" w:cs="Georgia"/>
          <w:i/>
          <w:color w:val="000000"/>
          <w:sz w:val="20"/>
          <w:szCs w:val="20"/>
        </w:rPr>
        <w:t xml:space="preserve">, Excessive data collection: privacy considerations and abuse of dominance in the era of big data </w:t>
      </w:r>
      <w:r>
        <w:rPr>
          <w:rFonts w:ascii="Georgia" w:eastAsia="Georgia" w:hAnsi="Georgia" w:cs="Georgia"/>
          <w:color w:val="000000"/>
          <w:sz w:val="20"/>
          <w:szCs w:val="20"/>
        </w:rPr>
        <w:t xml:space="preserve"> in Common Market Law Review 57, 2020, 161</w:t>
      </w:r>
    </w:p>
  </w:footnote>
  <w:footnote w:id="27">
    <w:p w14:paraId="000000A0" w14:textId="43AE3CB5" w:rsidR="00956D20" w:rsidRDefault="00E90E31">
      <w:pPr>
        <w:pBdr>
          <w:top w:val="nil"/>
          <w:left w:val="nil"/>
          <w:bottom w:val="nil"/>
          <w:right w:val="nil"/>
          <w:between w:val="nil"/>
        </w:pBdr>
        <w:spacing w:after="0" w:line="240" w:lineRule="auto"/>
        <w:jc w:val="both"/>
        <w:rPr>
          <w:rFonts w:ascii="Georgia" w:eastAsia="Georgia" w:hAnsi="Georgia" w:cs="Georgia"/>
          <w:color w:val="000000"/>
          <w:sz w:val="20"/>
          <w:szCs w:val="20"/>
        </w:rPr>
      </w:pPr>
      <w:r>
        <w:rPr>
          <w:vertAlign w:val="superscript"/>
        </w:rPr>
        <w:footnoteRef/>
      </w:r>
      <w:r>
        <w:rPr>
          <w:rFonts w:ascii="Georgia" w:eastAsia="Georgia" w:hAnsi="Georgia" w:cs="Georgia"/>
          <w:color w:val="000000"/>
          <w:sz w:val="20"/>
          <w:szCs w:val="20"/>
        </w:rPr>
        <w:t xml:space="preserve"> In the field of tax law see</w:t>
      </w:r>
      <w:r>
        <w:rPr>
          <w:rFonts w:ascii="Georgia" w:eastAsia="Georgia" w:hAnsi="Georgia" w:cs="Georgia"/>
          <w:i/>
          <w:color w:val="000000"/>
          <w:sz w:val="20"/>
          <w:szCs w:val="20"/>
        </w:rPr>
        <w:t xml:space="preserve"> </w:t>
      </w:r>
      <w:proofErr w:type="spellStart"/>
      <w:r>
        <w:rPr>
          <w:rFonts w:ascii="Georgia" w:eastAsia="Georgia" w:hAnsi="Georgia" w:cs="Georgia"/>
          <w:smallCaps/>
          <w:color w:val="000000"/>
          <w:sz w:val="20"/>
          <w:szCs w:val="20"/>
        </w:rPr>
        <w:t>Turina</w:t>
      </w:r>
      <w:proofErr w:type="spellEnd"/>
      <w:r>
        <w:rPr>
          <w:rFonts w:ascii="Georgia" w:eastAsia="Georgia" w:hAnsi="Georgia" w:cs="Georgia"/>
          <w:smallCaps/>
          <w:color w:val="000000"/>
          <w:sz w:val="20"/>
          <w:szCs w:val="20"/>
        </w:rPr>
        <w:t>,</w:t>
      </w:r>
      <w:r>
        <w:rPr>
          <w:rFonts w:ascii="Georgia" w:eastAsia="Georgia" w:hAnsi="Georgia" w:cs="Georgia"/>
          <w:i/>
          <w:color w:val="000000"/>
          <w:sz w:val="20"/>
          <w:szCs w:val="20"/>
        </w:rPr>
        <w:t xml:space="preserve"> Visible, Though Not Visible in Itself”. Transparency at the Crossroads of International Financial Regulation and International Taxation</w:t>
      </w:r>
      <w:r>
        <w:rPr>
          <w:rFonts w:ascii="Georgia" w:eastAsia="Georgia" w:hAnsi="Georgia" w:cs="Georgia"/>
          <w:color w:val="000000"/>
          <w:sz w:val="20"/>
          <w:szCs w:val="20"/>
        </w:rPr>
        <w:t xml:space="preserve"> in World Tax Journal, 2016, 378.</w:t>
      </w:r>
    </w:p>
  </w:footnote>
  <w:footnote w:id="28">
    <w:p w14:paraId="000000A1" w14:textId="77777777" w:rsidR="00956D20" w:rsidRDefault="00E90E31">
      <w:pPr>
        <w:pBdr>
          <w:top w:val="nil"/>
          <w:left w:val="nil"/>
          <w:bottom w:val="nil"/>
          <w:right w:val="nil"/>
          <w:between w:val="nil"/>
        </w:pBdr>
        <w:spacing w:after="0" w:line="240" w:lineRule="auto"/>
        <w:jc w:val="both"/>
        <w:rPr>
          <w:rFonts w:ascii="Georgia" w:eastAsia="Georgia" w:hAnsi="Georgia" w:cs="Georgia"/>
          <w:color w:val="000000"/>
          <w:sz w:val="20"/>
          <w:szCs w:val="20"/>
        </w:rPr>
      </w:pPr>
      <w:r>
        <w:rPr>
          <w:vertAlign w:val="superscript"/>
        </w:rPr>
        <w:footnoteRef/>
      </w:r>
      <w:r>
        <w:rPr>
          <w:rFonts w:ascii="Georgia" w:eastAsia="Georgia" w:hAnsi="Georgia" w:cs="Georgia"/>
          <w:color w:val="000000"/>
          <w:sz w:val="20"/>
          <w:szCs w:val="20"/>
        </w:rPr>
        <w:t xml:space="preserve"> Art. 5(1)(c) of the GDPR</w:t>
      </w:r>
    </w:p>
  </w:footnote>
  <w:footnote w:id="29">
    <w:p w14:paraId="000000A2" w14:textId="77777777" w:rsidR="00956D20" w:rsidRDefault="00E90E31">
      <w:pPr>
        <w:pBdr>
          <w:top w:val="nil"/>
          <w:left w:val="nil"/>
          <w:bottom w:val="nil"/>
          <w:right w:val="nil"/>
          <w:between w:val="nil"/>
        </w:pBdr>
        <w:spacing w:after="0" w:line="240" w:lineRule="auto"/>
        <w:jc w:val="both"/>
        <w:rPr>
          <w:rFonts w:ascii="Georgia" w:eastAsia="Georgia" w:hAnsi="Georgia" w:cs="Georgia"/>
          <w:color w:val="000000"/>
          <w:sz w:val="20"/>
          <w:szCs w:val="20"/>
        </w:rPr>
      </w:pPr>
      <w:r>
        <w:rPr>
          <w:vertAlign w:val="superscript"/>
        </w:rPr>
        <w:footnoteRef/>
      </w:r>
      <w:r>
        <w:rPr>
          <w:rFonts w:ascii="Georgia" w:eastAsia="Georgia" w:hAnsi="Georgia" w:cs="Georgia"/>
          <w:color w:val="000000"/>
          <w:sz w:val="20"/>
          <w:szCs w:val="20"/>
        </w:rPr>
        <w:t xml:space="preserve"> OECD (2012), </w:t>
      </w:r>
      <w:r>
        <w:rPr>
          <w:rFonts w:ascii="Georgia" w:eastAsia="Georgia" w:hAnsi="Georgia" w:cs="Georgia"/>
          <w:i/>
          <w:color w:val="000000"/>
          <w:sz w:val="20"/>
          <w:szCs w:val="20"/>
        </w:rPr>
        <w:t>Keeping It Safe: The OECD Guide on the Protection of Confidentiality of Information Exchanged for Tax Purposes</w:t>
      </w:r>
      <w:r>
        <w:rPr>
          <w:rFonts w:ascii="Georgia" w:eastAsia="Georgia" w:hAnsi="Georgia" w:cs="Georgia"/>
          <w:color w:val="000000"/>
          <w:sz w:val="20"/>
          <w:szCs w:val="20"/>
        </w:rPr>
        <w:t>, cit., 5.</w:t>
      </w:r>
    </w:p>
  </w:footnote>
  <w:footnote w:id="30">
    <w:p w14:paraId="000000A3" w14:textId="59169FF2" w:rsidR="00956D20" w:rsidRDefault="00E90E31">
      <w:pPr>
        <w:spacing w:after="0"/>
        <w:jc w:val="both"/>
        <w:rPr>
          <w:rFonts w:ascii="Georgia" w:eastAsia="Georgia" w:hAnsi="Georgia" w:cs="Georgia"/>
          <w:sz w:val="20"/>
          <w:szCs w:val="20"/>
        </w:rPr>
      </w:pPr>
      <w:r>
        <w:rPr>
          <w:vertAlign w:val="superscript"/>
        </w:rPr>
        <w:footnoteRef/>
      </w:r>
      <w:r>
        <w:rPr>
          <w:rFonts w:ascii="Georgia" w:eastAsia="Georgia" w:hAnsi="Georgia" w:cs="Georgia"/>
          <w:sz w:val="20"/>
          <w:szCs w:val="20"/>
        </w:rPr>
        <w:t xml:space="preserve"> The exchange of tax information is one of those tools that is conceived as a means of tackling tax evasion and tax avoidance but can also constitute serious harm to taxpayers’ rights. It is a tool that originates in tax law and is intended for tax purposes, but has the potential to harm taxpayers’ rights in a way that goes far beyond taxation and enters into the area of its fundamental rights. </w:t>
      </w:r>
      <w:r>
        <w:rPr>
          <w:rFonts w:ascii="Georgia" w:eastAsia="Georgia" w:hAnsi="Georgia" w:cs="Georgia"/>
          <w:smallCaps/>
          <w:sz w:val="20"/>
          <w:szCs w:val="20"/>
        </w:rPr>
        <w:t xml:space="preserve">Cannas, </w:t>
      </w:r>
      <w:r>
        <w:rPr>
          <w:rFonts w:ascii="Georgia" w:eastAsia="Georgia" w:hAnsi="Georgia" w:cs="Georgia"/>
          <w:sz w:val="20"/>
          <w:szCs w:val="20"/>
        </w:rPr>
        <w:t xml:space="preserve"> </w:t>
      </w:r>
      <w:r>
        <w:rPr>
          <w:rFonts w:ascii="Georgia" w:eastAsia="Georgia" w:hAnsi="Georgia" w:cs="Georgia"/>
          <w:i/>
          <w:sz w:val="20"/>
          <w:szCs w:val="20"/>
        </w:rPr>
        <w:t xml:space="preserve">Taxpayers’ Right of </w:t>
      </w:r>
      <w:proofErr w:type="spellStart"/>
      <w:r>
        <w:rPr>
          <w:rFonts w:ascii="Georgia" w:eastAsia="Georgia" w:hAnsi="Georgia" w:cs="Georgia"/>
          <w:i/>
          <w:sz w:val="20"/>
          <w:szCs w:val="20"/>
        </w:rPr>
        <w:t>Defence</w:t>
      </w:r>
      <w:proofErr w:type="spellEnd"/>
      <w:r>
        <w:rPr>
          <w:rFonts w:ascii="Georgia" w:eastAsia="Georgia" w:hAnsi="Georgia" w:cs="Georgia"/>
          <w:i/>
          <w:sz w:val="20"/>
          <w:szCs w:val="20"/>
        </w:rPr>
        <w:t xml:space="preserve"> in the International Context: The Case of Exchange of Tax Information and a Proposal for the</w:t>
      </w:r>
      <w:r>
        <w:rPr>
          <w:rFonts w:ascii="Georgia" w:eastAsia="Georgia" w:hAnsi="Georgia" w:cs="Georgia"/>
          <w:b/>
          <w:i/>
          <w:sz w:val="20"/>
          <w:szCs w:val="20"/>
        </w:rPr>
        <w:t xml:space="preserve"> </w:t>
      </w:r>
      <w:r>
        <w:rPr>
          <w:rFonts w:ascii="Georgia" w:eastAsia="Georgia" w:hAnsi="Georgia" w:cs="Georgia"/>
          <w:i/>
          <w:sz w:val="20"/>
          <w:szCs w:val="20"/>
        </w:rPr>
        <w:t xml:space="preserve">“English” </w:t>
      </w:r>
      <w:proofErr w:type="spellStart"/>
      <w:r>
        <w:rPr>
          <w:rFonts w:ascii="Georgia" w:eastAsia="Georgia" w:hAnsi="Georgia" w:cs="Georgia"/>
          <w:i/>
          <w:sz w:val="20"/>
          <w:szCs w:val="20"/>
        </w:rPr>
        <w:t>Wednesbury</w:t>
      </w:r>
      <w:proofErr w:type="spellEnd"/>
      <w:r>
        <w:rPr>
          <w:rFonts w:ascii="Georgia" w:eastAsia="Georgia" w:hAnsi="Georgia" w:cs="Georgia"/>
          <w:i/>
          <w:sz w:val="20"/>
          <w:szCs w:val="20"/>
        </w:rPr>
        <w:t xml:space="preserve"> Doctrine as the New OECD (BEPS) Standard</w:t>
      </w:r>
      <w:r>
        <w:rPr>
          <w:rFonts w:ascii="Georgia" w:eastAsia="Georgia" w:hAnsi="Georgia" w:cs="Georgia"/>
          <w:sz w:val="20"/>
          <w:szCs w:val="20"/>
        </w:rPr>
        <w:t xml:space="preserve"> in World Tax Journal, 2020, 379.</w:t>
      </w:r>
    </w:p>
  </w:footnote>
  <w:footnote w:id="31">
    <w:p w14:paraId="000000A4" w14:textId="6692955B" w:rsidR="00956D20" w:rsidRDefault="00E90E31">
      <w:pPr>
        <w:pBdr>
          <w:top w:val="nil"/>
          <w:left w:val="nil"/>
          <w:bottom w:val="nil"/>
          <w:right w:val="nil"/>
          <w:between w:val="nil"/>
        </w:pBdr>
        <w:spacing w:after="0" w:line="240" w:lineRule="auto"/>
        <w:jc w:val="both"/>
        <w:rPr>
          <w:rFonts w:ascii="Georgia" w:eastAsia="Georgia" w:hAnsi="Georgia" w:cs="Georgia"/>
          <w:color w:val="000000"/>
          <w:sz w:val="20"/>
          <w:szCs w:val="20"/>
        </w:rPr>
      </w:pPr>
      <w:r>
        <w:rPr>
          <w:vertAlign w:val="superscript"/>
        </w:rPr>
        <w:footnoteRef/>
      </w:r>
      <w:r>
        <w:rPr>
          <w:rFonts w:ascii="Georgia" w:eastAsia="Georgia" w:hAnsi="Georgia" w:cs="Georgia"/>
          <w:color w:val="000000"/>
          <w:sz w:val="20"/>
          <w:szCs w:val="20"/>
        </w:rPr>
        <w:t xml:space="preserve"> For the general area of public sector see GALETTA, </w:t>
      </w:r>
      <w:r>
        <w:rPr>
          <w:rFonts w:ascii="Georgia" w:eastAsia="Georgia" w:hAnsi="Georgia" w:cs="Georgia"/>
          <w:i/>
          <w:color w:val="000000"/>
          <w:sz w:val="20"/>
          <w:szCs w:val="20"/>
        </w:rPr>
        <w:t>Public Administration in the Era of Database and Information Exchange Networks: Empowering Administrative Power or Just Better Serving the Citizens</w:t>
      </w:r>
      <w:r>
        <w:rPr>
          <w:rFonts w:ascii="Georgia" w:eastAsia="Georgia" w:hAnsi="Georgia" w:cs="Georgia"/>
          <w:color w:val="000000"/>
          <w:sz w:val="20"/>
          <w:szCs w:val="20"/>
        </w:rPr>
        <w:t>, op. cit.</w:t>
      </w:r>
    </w:p>
  </w:footnote>
  <w:footnote w:id="32">
    <w:p w14:paraId="000000A5" w14:textId="2D9F860A" w:rsidR="00956D20" w:rsidRDefault="00E90E31">
      <w:pPr>
        <w:spacing w:after="0"/>
        <w:jc w:val="both"/>
        <w:rPr>
          <w:rFonts w:ascii="Georgia" w:eastAsia="Georgia" w:hAnsi="Georgia" w:cs="Georgia"/>
          <w:sz w:val="20"/>
          <w:szCs w:val="20"/>
        </w:rPr>
      </w:pPr>
      <w:r>
        <w:rPr>
          <w:vertAlign w:val="superscript"/>
        </w:rPr>
        <w:footnoteRef/>
      </w:r>
      <w:r>
        <w:rPr>
          <w:rFonts w:ascii="Georgia" w:eastAsia="Georgia" w:hAnsi="Georgia" w:cs="Georgia"/>
          <w:sz w:val="20"/>
          <w:szCs w:val="20"/>
        </w:rPr>
        <w:t xml:space="preserve"> “While Big Data undoubtedly presents big opportunities for tax agencies, it also raises big challenges regarding the privacy of taxpayers</w:t>
      </w:r>
      <w:r w:rsidR="005E4FF1">
        <w:rPr>
          <w:rFonts w:ascii="Georgia" w:eastAsia="Georgia" w:hAnsi="Georgia" w:cs="Georgia"/>
          <w:sz w:val="20"/>
          <w:szCs w:val="20"/>
        </w:rPr>
        <w:t>”.</w:t>
      </w:r>
      <w:r>
        <w:rPr>
          <w:rFonts w:ascii="Georgia" w:eastAsia="Georgia" w:hAnsi="Georgia" w:cs="Georgia"/>
          <w:sz w:val="20"/>
          <w:szCs w:val="20"/>
        </w:rPr>
        <w:t xml:space="preserve"> </w:t>
      </w:r>
      <w:r w:rsidR="005E4FF1">
        <w:rPr>
          <w:rFonts w:ascii="Georgia" w:eastAsia="Georgia" w:hAnsi="Georgia" w:cs="Georgia"/>
          <w:smallCaps/>
          <w:sz w:val="20"/>
          <w:szCs w:val="20"/>
        </w:rPr>
        <w:t>MAZZONI, (</w:t>
      </w:r>
      <w:r>
        <w:rPr>
          <w:rFonts w:ascii="Georgia" w:eastAsia="Georgia" w:hAnsi="Georgia" w:cs="Georgia"/>
          <w:i/>
          <w:sz w:val="20"/>
          <w:szCs w:val="20"/>
        </w:rPr>
        <w:t>Re)defining the Balance between Tax Transparency and Tax Privacy in Big Data Analytics</w:t>
      </w:r>
      <w:r>
        <w:rPr>
          <w:rFonts w:ascii="Georgia" w:eastAsia="Georgia" w:hAnsi="Georgia" w:cs="Georgia"/>
          <w:sz w:val="20"/>
          <w:szCs w:val="20"/>
        </w:rPr>
        <w:t xml:space="preserve"> in Bulletin </w:t>
      </w:r>
      <w:proofErr w:type="spellStart"/>
      <w:r>
        <w:rPr>
          <w:rFonts w:ascii="Georgia" w:eastAsia="Georgia" w:hAnsi="Georgia" w:cs="Georgia"/>
          <w:sz w:val="20"/>
          <w:szCs w:val="20"/>
        </w:rPr>
        <w:t>forInternational</w:t>
      </w:r>
      <w:proofErr w:type="spellEnd"/>
      <w:r>
        <w:rPr>
          <w:rFonts w:ascii="Georgia" w:eastAsia="Georgia" w:hAnsi="Georgia" w:cs="Georgia"/>
          <w:sz w:val="20"/>
          <w:szCs w:val="20"/>
        </w:rPr>
        <w:t xml:space="preserve"> Taxation, 2018, 656.</w:t>
      </w:r>
    </w:p>
  </w:footnote>
  <w:footnote w:id="33">
    <w:p w14:paraId="000000A6" w14:textId="19AB5806" w:rsidR="00956D20" w:rsidRDefault="00E90E31">
      <w:pPr>
        <w:pBdr>
          <w:top w:val="nil"/>
          <w:left w:val="nil"/>
          <w:bottom w:val="nil"/>
          <w:right w:val="nil"/>
          <w:between w:val="nil"/>
        </w:pBdr>
        <w:spacing w:after="0" w:line="240" w:lineRule="auto"/>
        <w:jc w:val="both"/>
        <w:rPr>
          <w:rFonts w:ascii="Georgia" w:eastAsia="Georgia" w:hAnsi="Georgia" w:cs="Georgia"/>
          <w:color w:val="000000"/>
          <w:sz w:val="20"/>
          <w:szCs w:val="20"/>
        </w:rPr>
      </w:pPr>
      <w:r>
        <w:rPr>
          <w:vertAlign w:val="superscript"/>
        </w:rPr>
        <w:footnoteRef/>
      </w:r>
      <w:r>
        <w:rPr>
          <w:rFonts w:ascii="Georgia" w:eastAsia="Georgia" w:hAnsi="Georgia" w:cs="Georgia"/>
          <w:color w:val="000000"/>
          <w:sz w:val="20"/>
          <w:szCs w:val="20"/>
        </w:rPr>
        <w:t xml:space="preserve"> </w:t>
      </w:r>
      <w:proofErr w:type="spellStart"/>
      <w:r>
        <w:rPr>
          <w:rFonts w:ascii="Georgia" w:eastAsia="Georgia" w:hAnsi="Georgia" w:cs="Georgia"/>
          <w:smallCaps/>
          <w:color w:val="000000"/>
          <w:sz w:val="20"/>
          <w:szCs w:val="20"/>
        </w:rPr>
        <w:t>Kristoffersson</w:t>
      </w:r>
      <w:proofErr w:type="spellEnd"/>
      <w:r w:rsidR="009B288F">
        <w:rPr>
          <w:rFonts w:ascii="Georgia" w:eastAsia="Georgia" w:hAnsi="Georgia" w:cs="Georgia"/>
          <w:smallCaps/>
          <w:color w:val="000000"/>
          <w:sz w:val="20"/>
          <w:szCs w:val="20"/>
        </w:rPr>
        <w:t xml:space="preserve"> - </w:t>
      </w:r>
      <w:r>
        <w:rPr>
          <w:rFonts w:ascii="Georgia" w:eastAsia="Georgia" w:hAnsi="Georgia" w:cs="Georgia"/>
          <w:smallCaps/>
          <w:color w:val="000000"/>
          <w:sz w:val="20"/>
          <w:szCs w:val="20"/>
        </w:rPr>
        <w:t>Lang</w:t>
      </w:r>
      <w:r>
        <w:rPr>
          <w:rFonts w:ascii="Georgia" w:eastAsia="Georgia" w:hAnsi="Georgia" w:cs="Georgia"/>
          <w:color w:val="000000"/>
          <w:sz w:val="20"/>
          <w:szCs w:val="20"/>
        </w:rPr>
        <w:t xml:space="preserve">, </w:t>
      </w:r>
      <w:r>
        <w:rPr>
          <w:rFonts w:ascii="Georgia" w:eastAsia="Georgia" w:hAnsi="Georgia" w:cs="Georgia"/>
          <w:i/>
          <w:color w:val="000000"/>
          <w:sz w:val="20"/>
          <w:szCs w:val="20"/>
        </w:rPr>
        <w:t>Tax Secrecy and Tax Transparency</w:t>
      </w:r>
      <w:r>
        <w:rPr>
          <w:rFonts w:ascii="Georgia" w:eastAsia="Georgia" w:hAnsi="Georgia" w:cs="Georgia"/>
          <w:color w:val="000000"/>
          <w:sz w:val="20"/>
          <w:szCs w:val="20"/>
        </w:rPr>
        <w:t xml:space="preserve">, in </w:t>
      </w:r>
      <w:r w:rsidRPr="009B288F">
        <w:rPr>
          <w:rFonts w:ascii="Georgia" w:eastAsia="Georgia" w:hAnsi="Georgia" w:cs="Georgia"/>
          <w:i/>
          <w:iCs/>
          <w:color w:val="000000"/>
          <w:sz w:val="20"/>
          <w:szCs w:val="20"/>
        </w:rPr>
        <w:t>The Relevance of Confidentiality in Tax Law</w:t>
      </w:r>
      <w:r>
        <w:rPr>
          <w:rFonts w:ascii="Georgia" w:eastAsia="Georgia" w:hAnsi="Georgia" w:cs="Georgia"/>
          <w:color w:val="000000"/>
          <w:sz w:val="20"/>
          <w:szCs w:val="20"/>
        </w:rPr>
        <w:t xml:space="preserve"> Part I, p. 2 </w:t>
      </w:r>
      <w:proofErr w:type="spellStart"/>
      <w:r>
        <w:rPr>
          <w:rFonts w:ascii="Georgia" w:eastAsia="Georgia" w:hAnsi="Georgia" w:cs="Georgia"/>
          <w:color w:val="000000"/>
          <w:sz w:val="20"/>
          <w:szCs w:val="20"/>
        </w:rPr>
        <w:t>Kristoffersson</w:t>
      </w:r>
      <w:proofErr w:type="spellEnd"/>
      <w:r>
        <w:rPr>
          <w:rFonts w:ascii="Georgia" w:eastAsia="Georgia" w:hAnsi="Georgia" w:cs="Georgia"/>
          <w:color w:val="000000"/>
          <w:sz w:val="20"/>
          <w:szCs w:val="20"/>
        </w:rPr>
        <w:t xml:space="preserve"> et al. eds. Peter Lang </w:t>
      </w:r>
      <w:proofErr w:type="spellStart"/>
      <w:r>
        <w:rPr>
          <w:rFonts w:ascii="Georgia" w:eastAsia="Georgia" w:hAnsi="Georgia" w:cs="Georgia"/>
          <w:color w:val="000000"/>
          <w:sz w:val="20"/>
          <w:szCs w:val="20"/>
        </w:rPr>
        <w:t>Publg</w:t>
      </w:r>
      <w:proofErr w:type="spellEnd"/>
      <w:r>
        <w:rPr>
          <w:rFonts w:ascii="Georgia" w:eastAsia="Georgia" w:hAnsi="Georgia" w:cs="Georgia"/>
          <w:color w:val="000000"/>
          <w:sz w:val="20"/>
          <w:szCs w:val="20"/>
        </w:rPr>
        <w:t>. 2013.</w:t>
      </w:r>
    </w:p>
  </w:footnote>
  <w:footnote w:id="34">
    <w:p w14:paraId="000000A7" w14:textId="19987528" w:rsidR="00956D20" w:rsidRDefault="00E90E31">
      <w:pPr>
        <w:spacing w:after="0"/>
        <w:jc w:val="both"/>
        <w:rPr>
          <w:rFonts w:ascii="Georgia" w:eastAsia="Georgia" w:hAnsi="Georgia" w:cs="Georgia"/>
          <w:sz w:val="20"/>
          <w:szCs w:val="20"/>
        </w:rPr>
      </w:pPr>
      <w:r>
        <w:rPr>
          <w:vertAlign w:val="superscript"/>
        </w:rPr>
        <w:footnoteRef/>
      </w:r>
      <w:r>
        <w:rPr>
          <w:rFonts w:ascii="Georgia" w:eastAsia="Georgia" w:hAnsi="Georgia" w:cs="Georgia"/>
          <w:sz w:val="20"/>
          <w:szCs w:val="20"/>
        </w:rPr>
        <w:t xml:space="preserve"> For an exhaustive historical analysis see V. </w:t>
      </w:r>
      <w:proofErr w:type="spellStart"/>
      <w:r>
        <w:rPr>
          <w:rFonts w:ascii="Georgia" w:eastAsia="Georgia" w:hAnsi="Georgia" w:cs="Georgia"/>
          <w:sz w:val="20"/>
          <w:szCs w:val="20"/>
        </w:rPr>
        <w:t>Wöhrer</w:t>
      </w:r>
      <w:proofErr w:type="spellEnd"/>
      <w:r>
        <w:rPr>
          <w:rFonts w:ascii="Georgia" w:eastAsia="Georgia" w:hAnsi="Georgia" w:cs="Georgia"/>
          <w:sz w:val="20"/>
          <w:szCs w:val="20"/>
        </w:rPr>
        <w:t xml:space="preserve">, </w:t>
      </w:r>
      <w:r>
        <w:rPr>
          <w:rFonts w:ascii="Georgia" w:eastAsia="Georgia" w:hAnsi="Georgia" w:cs="Georgia"/>
          <w:i/>
          <w:sz w:val="20"/>
          <w:szCs w:val="20"/>
        </w:rPr>
        <w:t>Data Protection and Taxpayers’ Rights: Challenges Created by Automatic Exchange of Information</w:t>
      </w:r>
      <w:r>
        <w:rPr>
          <w:rFonts w:ascii="Georgia" w:eastAsia="Georgia" w:hAnsi="Georgia" w:cs="Georgia"/>
          <w:sz w:val="20"/>
          <w:szCs w:val="20"/>
        </w:rPr>
        <w:t xml:space="preserve">, cit., 20; x. </w:t>
      </w:r>
      <w:proofErr w:type="spellStart"/>
      <w:r>
        <w:rPr>
          <w:rFonts w:ascii="Georgia" w:eastAsia="Georgia" w:hAnsi="Georgia" w:cs="Georgia"/>
          <w:sz w:val="20"/>
          <w:szCs w:val="20"/>
        </w:rPr>
        <w:t>Oberson</w:t>
      </w:r>
      <w:proofErr w:type="spellEnd"/>
      <w:r>
        <w:rPr>
          <w:rFonts w:ascii="Georgia" w:eastAsia="Georgia" w:hAnsi="Georgia" w:cs="Georgia"/>
          <w:sz w:val="20"/>
          <w:szCs w:val="20"/>
        </w:rPr>
        <w:t xml:space="preserve">, </w:t>
      </w:r>
      <w:r>
        <w:rPr>
          <w:rFonts w:ascii="Georgia" w:eastAsia="Georgia" w:hAnsi="Georgia" w:cs="Georgia"/>
          <w:i/>
          <w:sz w:val="20"/>
          <w:szCs w:val="20"/>
        </w:rPr>
        <w:t xml:space="preserve">International Exchange of Information in Tax Matters – Towards Global </w:t>
      </w:r>
      <w:r w:rsidR="005E4FF1">
        <w:rPr>
          <w:rFonts w:ascii="Georgia" w:eastAsia="Georgia" w:hAnsi="Georgia" w:cs="Georgia"/>
          <w:i/>
          <w:sz w:val="20"/>
          <w:szCs w:val="20"/>
        </w:rPr>
        <w:t xml:space="preserve">Transparency, </w:t>
      </w:r>
      <w:r w:rsidR="005E4FF1">
        <w:rPr>
          <w:rFonts w:ascii="Georgia" w:eastAsia="Georgia" w:hAnsi="Georgia" w:cs="Georgia"/>
          <w:sz w:val="20"/>
          <w:szCs w:val="20"/>
        </w:rPr>
        <w:t>Edward</w:t>
      </w:r>
      <w:r>
        <w:rPr>
          <w:rFonts w:ascii="Georgia" w:eastAsia="Georgia" w:hAnsi="Georgia" w:cs="Georgia"/>
          <w:sz w:val="20"/>
          <w:szCs w:val="20"/>
        </w:rPr>
        <w:t xml:space="preserve"> Elgar Publishing, 2018.</w:t>
      </w:r>
    </w:p>
  </w:footnote>
  <w:footnote w:id="35">
    <w:p w14:paraId="000000A8" w14:textId="08D33A6E" w:rsidR="00956D20" w:rsidRDefault="00E90E31">
      <w:pPr>
        <w:pBdr>
          <w:top w:val="nil"/>
          <w:left w:val="nil"/>
          <w:bottom w:val="nil"/>
          <w:right w:val="nil"/>
          <w:between w:val="nil"/>
        </w:pBdr>
        <w:spacing w:after="0" w:line="240" w:lineRule="auto"/>
        <w:jc w:val="both"/>
        <w:rPr>
          <w:rFonts w:ascii="Georgia" w:eastAsia="Georgia" w:hAnsi="Georgia" w:cs="Georgia"/>
          <w:color w:val="000000"/>
          <w:sz w:val="20"/>
          <w:szCs w:val="20"/>
        </w:rPr>
      </w:pPr>
      <w:r>
        <w:rPr>
          <w:vertAlign w:val="superscript"/>
        </w:rPr>
        <w:footnoteRef/>
      </w:r>
      <w:r>
        <w:rPr>
          <w:rFonts w:ascii="Georgia" w:eastAsia="Georgia" w:hAnsi="Georgia" w:cs="Georgia"/>
          <w:color w:val="000000"/>
          <w:sz w:val="20"/>
          <w:szCs w:val="20"/>
        </w:rPr>
        <w:t xml:space="preserve"> See </w:t>
      </w:r>
      <w:proofErr w:type="spellStart"/>
      <w:r>
        <w:rPr>
          <w:rFonts w:ascii="Georgia" w:eastAsia="Georgia" w:hAnsi="Georgia" w:cs="Georgia"/>
          <w:smallCaps/>
          <w:color w:val="000000"/>
          <w:sz w:val="20"/>
          <w:szCs w:val="20"/>
        </w:rPr>
        <w:t>Debelva</w:t>
      </w:r>
      <w:proofErr w:type="spellEnd"/>
      <w:r>
        <w:rPr>
          <w:rFonts w:ascii="Georgia" w:eastAsia="Georgia" w:hAnsi="Georgia" w:cs="Georgia"/>
          <w:smallCaps/>
          <w:color w:val="000000"/>
          <w:sz w:val="20"/>
          <w:szCs w:val="20"/>
        </w:rPr>
        <w:t>, F. Mosquera Valderrama, I.J.</w:t>
      </w:r>
      <w:r>
        <w:rPr>
          <w:rFonts w:ascii="Georgia" w:eastAsia="Georgia" w:hAnsi="Georgia" w:cs="Georgia"/>
          <w:i/>
          <w:color w:val="000000"/>
          <w:sz w:val="20"/>
          <w:szCs w:val="20"/>
        </w:rPr>
        <w:t xml:space="preserve"> Privacy and confidentiality in exchange of information </w:t>
      </w:r>
      <w:r w:rsidR="005E4FF1">
        <w:rPr>
          <w:rFonts w:ascii="Georgia" w:eastAsia="Georgia" w:hAnsi="Georgia" w:cs="Georgia"/>
          <w:i/>
          <w:color w:val="000000"/>
          <w:sz w:val="20"/>
          <w:szCs w:val="20"/>
        </w:rPr>
        <w:t>procedures:</w:t>
      </w:r>
      <w:r>
        <w:rPr>
          <w:rFonts w:ascii="Georgia" w:eastAsia="Georgia" w:hAnsi="Georgia" w:cs="Georgia"/>
          <w:i/>
          <w:color w:val="000000"/>
          <w:sz w:val="20"/>
          <w:szCs w:val="20"/>
        </w:rPr>
        <w:t xml:space="preserve"> some uncertainties, many issues, but few solutions </w:t>
      </w:r>
      <w:r>
        <w:rPr>
          <w:rFonts w:ascii="Georgia" w:eastAsia="Georgia" w:hAnsi="Georgia" w:cs="Georgia"/>
          <w:color w:val="000000"/>
          <w:sz w:val="20"/>
          <w:szCs w:val="20"/>
        </w:rPr>
        <w:t>in Intertax, 2015, 216.</w:t>
      </w:r>
    </w:p>
  </w:footnote>
  <w:footnote w:id="36">
    <w:p w14:paraId="000000A9" w14:textId="77777777" w:rsidR="00956D20" w:rsidRDefault="00E90E31">
      <w:pPr>
        <w:pBdr>
          <w:top w:val="nil"/>
          <w:left w:val="nil"/>
          <w:bottom w:val="nil"/>
          <w:right w:val="nil"/>
          <w:between w:val="nil"/>
        </w:pBdr>
        <w:spacing w:after="0" w:line="240" w:lineRule="auto"/>
        <w:jc w:val="both"/>
        <w:rPr>
          <w:rFonts w:ascii="Georgia" w:eastAsia="Georgia" w:hAnsi="Georgia" w:cs="Georgia"/>
          <w:color w:val="000000"/>
          <w:sz w:val="20"/>
          <w:szCs w:val="20"/>
        </w:rPr>
      </w:pPr>
      <w:r>
        <w:rPr>
          <w:vertAlign w:val="superscript"/>
        </w:rPr>
        <w:footnoteRef/>
      </w:r>
      <w:r>
        <w:rPr>
          <w:rFonts w:ascii="Georgia" w:eastAsia="Georgia" w:hAnsi="Georgia" w:cs="Georgia"/>
          <w:color w:val="000000"/>
          <w:sz w:val="20"/>
          <w:szCs w:val="20"/>
        </w:rPr>
        <w:t xml:space="preserve"> </w:t>
      </w:r>
      <w:proofErr w:type="spellStart"/>
      <w:r>
        <w:rPr>
          <w:rFonts w:ascii="Georgia" w:eastAsia="Georgia" w:hAnsi="Georgia" w:cs="Georgia"/>
          <w:smallCaps/>
          <w:color w:val="000000"/>
          <w:sz w:val="20"/>
          <w:szCs w:val="20"/>
        </w:rPr>
        <w:t>D.A.Hernández</w:t>
      </w:r>
      <w:proofErr w:type="spellEnd"/>
      <w:r>
        <w:rPr>
          <w:rFonts w:ascii="Georgia" w:eastAsia="Georgia" w:hAnsi="Georgia" w:cs="Georgia"/>
          <w:smallCaps/>
          <w:color w:val="000000"/>
          <w:sz w:val="20"/>
          <w:szCs w:val="20"/>
        </w:rPr>
        <w:t xml:space="preserve"> Rivera, </w:t>
      </w:r>
      <w:r>
        <w:rPr>
          <w:rFonts w:ascii="Georgia" w:eastAsia="Georgia" w:hAnsi="Georgia" w:cs="Georgia"/>
          <w:i/>
          <w:color w:val="000000"/>
          <w:sz w:val="20"/>
          <w:szCs w:val="20"/>
        </w:rPr>
        <w:t>Ensuring Effective Taxpayer Remedies for Breaches of Confidentiality in Relation to Tax Treaties</w:t>
      </w:r>
      <w:r>
        <w:rPr>
          <w:rFonts w:ascii="Georgia" w:eastAsia="Georgia" w:hAnsi="Georgia" w:cs="Georgia"/>
          <w:color w:val="000000"/>
          <w:sz w:val="20"/>
          <w:szCs w:val="20"/>
        </w:rPr>
        <w:t xml:space="preserve"> in Bulletin for International Taxation, 2020, 681.</w:t>
      </w:r>
    </w:p>
  </w:footnote>
  <w:footnote w:id="37">
    <w:p w14:paraId="000000AA" w14:textId="5D5C9EB1" w:rsidR="00956D20" w:rsidRDefault="00E90E31">
      <w:pPr>
        <w:spacing w:after="0"/>
        <w:jc w:val="both"/>
        <w:rPr>
          <w:rFonts w:ascii="Georgia" w:eastAsia="Georgia" w:hAnsi="Georgia" w:cs="Georgia"/>
          <w:sz w:val="20"/>
          <w:szCs w:val="20"/>
        </w:rPr>
      </w:pPr>
      <w:r>
        <w:rPr>
          <w:vertAlign w:val="superscript"/>
        </w:rPr>
        <w:footnoteRef/>
      </w:r>
      <w:r>
        <w:rPr>
          <w:rFonts w:ascii="Georgia" w:eastAsia="Georgia" w:hAnsi="Georgia" w:cs="Georgia"/>
          <w:sz w:val="20"/>
          <w:szCs w:val="20"/>
        </w:rPr>
        <w:t xml:space="preserve"> This is a “explicit safeguards for taxpayers”. </w:t>
      </w:r>
      <w:proofErr w:type="spellStart"/>
      <w:r>
        <w:rPr>
          <w:rFonts w:ascii="Georgia" w:eastAsia="Georgia" w:hAnsi="Georgia" w:cs="Georgia"/>
          <w:smallCaps/>
          <w:sz w:val="20"/>
          <w:szCs w:val="20"/>
        </w:rPr>
        <w:t>Diepvens</w:t>
      </w:r>
      <w:proofErr w:type="spellEnd"/>
      <w:r>
        <w:rPr>
          <w:rFonts w:ascii="Georgia" w:eastAsia="Georgia" w:hAnsi="Georgia" w:cs="Georgia"/>
          <w:smallCaps/>
          <w:sz w:val="20"/>
          <w:szCs w:val="20"/>
        </w:rPr>
        <w:t xml:space="preserve"> – </w:t>
      </w:r>
      <w:proofErr w:type="spellStart"/>
      <w:r>
        <w:rPr>
          <w:rFonts w:ascii="Georgia" w:eastAsia="Georgia" w:hAnsi="Georgia" w:cs="Georgia"/>
          <w:smallCaps/>
          <w:sz w:val="20"/>
          <w:szCs w:val="20"/>
        </w:rPr>
        <w:t>Debelva</w:t>
      </w:r>
      <w:proofErr w:type="spellEnd"/>
      <w:r>
        <w:rPr>
          <w:rFonts w:ascii="Georgia" w:eastAsia="Georgia" w:hAnsi="Georgia" w:cs="Georgia"/>
          <w:sz w:val="20"/>
          <w:szCs w:val="20"/>
        </w:rPr>
        <w:t xml:space="preserve">, </w:t>
      </w:r>
      <w:r>
        <w:rPr>
          <w:rFonts w:ascii="Georgia" w:eastAsia="Georgia" w:hAnsi="Georgia" w:cs="Georgia"/>
          <w:i/>
          <w:sz w:val="20"/>
          <w:szCs w:val="20"/>
        </w:rPr>
        <w:t>The Evolution of the Exchange of Information In Direct Tax Matters: The Taxpayer’s Rights unde</w:t>
      </w:r>
      <w:r w:rsidR="009B288F">
        <w:rPr>
          <w:rFonts w:ascii="Georgia" w:eastAsia="Georgia" w:hAnsi="Georgia" w:cs="Georgia"/>
          <w:i/>
          <w:sz w:val="20"/>
          <w:szCs w:val="20"/>
        </w:rPr>
        <w:t>r</w:t>
      </w:r>
      <w:r>
        <w:rPr>
          <w:rFonts w:ascii="Georgia" w:eastAsia="Georgia" w:hAnsi="Georgia" w:cs="Georgia"/>
          <w:i/>
          <w:sz w:val="20"/>
          <w:szCs w:val="20"/>
        </w:rPr>
        <w:t xml:space="preserve"> Pressure</w:t>
      </w:r>
      <w:r>
        <w:rPr>
          <w:rFonts w:ascii="Georgia" w:eastAsia="Georgia" w:hAnsi="Georgia" w:cs="Georgia"/>
          <w:sz w:val="20"/>
          <w:szCs w:val="20"/>
        </w:rPr>
        <w:t xml:space="preserve"> in Ec Tax Review, 2015, </w:t>
      </w:r>
    </w:p>
  </w:footnote>
  <w:footnote w:id="38">
    <w:p w14:paraId="000000AB" w14:textId="77777777" w:rsidR="00956D20" w:rsidRDefault="00E90E31">
      <w:pPr>
        <w:pBdr>
          <w:top w:val="nil"/>
          <w:left w:val="nil"/>
          <w:bottom w:val="nil"/>
          <w:right w:val="nil"/>
          <w:between w:val="nil"/>
        </w:pBdr>
        <w:spacing w:after="0" w:line="240" w:lineRule="auto"/>
        <w:jc w:val="both"/>
        <w:rPr>
          <w:rFonts w:ascii="Georgia" w:eastAsia="Georgia" w:hAnsi="Georgia" w:cs="Georgia"/>
          <w:color w:val="000000"/>
          <w:sz w:val="20"/>
          <w:szCs w:val="20"/>
        </w:rPr>
      </w:pPr>
      <w:r>
        <w:rPr>
          <w:vertAlign w:val="superscript"/>
        </w:rPr>
        <w:footnoteRef/>
      </w:r>
      <w:r>
        <w:rPr>
          <w:rFonts w:ascii="Georgia" w:eastAsia="Georgia" w:hAnsi="Georgia" w:cs="Georgia"/>
          <w:color w:val="000000"/>
          <w:sz w:val="20"/>
          <w:szCs w:val="20"/>
        </w:rPr>
        <w:t xml:space="preserve"> Some changes have been made to paragraphs 11 and 12.3 of the Commentary to paragraph 2 of Article 26,. Specifically, paragraph 11 states that the receiving administration must treat the information received "</w:t>
      </w:r>
      <w:r>
        <w:rPr>
          <w:rFonts w:ascii="Georgia" w:eastAsia="Georgia" w:hAnsi="Georgia" w:cs="Georgia"/>
          <w:i/>
          <w:color w:val="000000"/>
          <w:sz w:val="20"/>
          <w:szCs w:val="20"/>
        </w:rPr>
        <w:t>with proper confidence</w:t>
      </w:r>
      <w:r>
        <w:rPr>
          <w:rFonts w:ascii="Georgia" w:eastAsia="Georgia" w:hAnsi="Georgia" w:cs="Georgia"/>
          <w:color w:val="000000"/>
          <w:sz w:val="20"/>
          <w:szCs w:val="20"/>
        </w:rPr>
        <w:t>", i.e. "</w:t>
      </w:r>
      <w:r>
        <w:rPr>
          <w:rFonts w:ascii="Georgia" w:eastAsia="Georgia" w:hAnsi="Georgia" w:cs="Georgia"/>
          <w:i/>
          <w:color w:val="000000"/>
          <w:sz w:val="20"/>
          <w:szCs w:val="20"/>
        </w:rPr>
        <w:t>with due confidentiality</w:t>
      </w:r>
      <w:r>
        <w:rPr>
          <w:rFonts w:ascii="Georgia" w:eastAsia="Georgia" w:hAnsi="Georgia" w:cs="Georgia"/>
          <w:color w:val="000000"/>
          <w:sz w:val="20"/>
          <w:szCs w:val="20"/>
        </w:rPr>
        <w:t>". The first of the amendments in question extends this standard to the exchange of correspondence through which the request was made, the content of which may be revealed to the extent strictly necessary to obtain the information itself.</w:t>
      </w:r>
    </w:p>
  </w:footnote>
  <w:footnote w:id="39">
    <w:p w14:paraId="000000AC" w14:textId="77777777" w:rsidR="00956D20" w:rsidRDefault="00E90E31">
      <w:pPr>
        <w:pBdr>
          <w:top w:val="nil"/>
          <w:left w:val="nil"/>
          <w:bottom w:val="nil"/>
          <w:right w:val="nil"/>
          <w:between w:val="nil"/>
        </w:pBdr>
        <w:spacing w:after="0" w:line="240" w:lineRule="auto"/>
        <w:jc w:val="both"/>
        <w:rPr>
          <w:rFonts w:ascii="Georgia" w:eastAsia="Georgia" w:hAnsi="Georgia" w:cs="Georgia"/>
          <w:color w:val="000000"/>
          <w:sz w:val="20"/>
          <w:szCs w:val="20"/>
        </w:rPr>
      </w:pPr>
      <w:r>
        <w:rPr>
          <w:vertAlign w:val="superscript"/>
        </w:rPr>
        <w:footnoteRef/>
      </w:r>
      <w:r>
        <w:rPr>
          <w:rFonts w:ascii="Georgia" w:eastAsia="Georgia" w:hAnsi="Georgia" w:cs="Georgia"/>
          <w:color w:val="000000"/>
          <w:sz w:val="20"/>
          <w:szCs w:val="20"/>
        </w:rPr>
        <w:t xml:space="preserve"> OECD (2012), </w:t>
      </w:r>
      <w:r w:rsidRPr="009B288F">
        <w:rPr>
          <w:rFonts w:ascii="Georgia" w:eastAsia="Georgia" w:hAnsi="Georgia" w:cs="Georgia"/>
          <w:i/>
          <w:iCs/>
          <w:color w:val="000000"/>
          <w:sz w:val="20"/>
          <w:szCs w:val="20"/>
        </w:rPr>
        <w:t>Keeping It Safe: The OECD Guide on the Protection of Confidentiality of Information Exchanged for Tax Purposes</w:t>
      </w:r>
      <w:r>
        <w:rPr>
          <w:rFonts w:ascii="Georgia" w:eastAsia="Georgia" w:hAnsi="Georgia" w:cs="Georgia"/>
          <w:color w:val="000000"/>
          <w:sz w:val="20"/>
          <w:szCs w:val="20"/>
        </w:rPr>
        <w:t>.</w:t>
      </w:r>
    </w:p>
  </w:footnote>
  <w:footnote w:id="40">
    <w:p w14:paraId="000000AD" w14:textId="261DD72A" w:rsidR="00956D20" w:rsidRDefault="00E90E31">
      <w:pPr>
        <w:pBdr>
          <w:top w:val="nil"/>
          <w:left w:val="nil"/>
          <w:bottom w:val="nil"/>
          <w:right w:val="nil"/>
          <w:between w:val="nil"/>
        </w:pBdr>
        <w:spacing w:after="0" w:line="240" w:lineRule="auto"/>
        <w:jc w:val="both"/>
        <w:rPr>
          <w:rFonts w:ascii="Georgia" w:eastAsia="Georgia" w:hAnsi="Georgia" w:cs="Georgia"/>
          <w:color w:val="000000"/>
          <w:sz w:val="20"/>
          <w:szCs w:val="20"/>
        </w:rPr>
      </w:pPr>
      <w:r>
        <w:rPr>
          <w:vertAlign w:val="superscript"/>
        </w:rPr>
        <w:footnoteRef/>
      </w:r>
      <w:r>
        <w:rPr>
          <w:rFonts w:ascii="Georgia" w:eastAsia="Georgia" w:hAnsi="Georgia" w:cs="Georgia"/>
          <w:color w:val="000000"/>
          <w:sz w:val="20"/>
          <w:szCs w:val="20"/>
        </w:rPr>
        <w:t xml:space="preserve"> See </w:t>
      </w:r>
      <w:proofErr w:type="spellStart"/>
      <w:r>
        <w:rPr>
          <w:rFonts w:ascii="Georgia" w:eastAsia="Georgia" w:hAnsi="Georgia" w:cs="Georgia"/>
          <w:smallCaps/>
          <w:color w:val="000000"/>
          <w:sz w:val="20"/>
          <w:szCs w:val="20"/>
        </w:rPr>
        <w:t>Turina</w:t>
      </w:r>
      <w:proofErr w:type="spellEnd"/>
      <w:r>
        <w:rPr>
          <w:rFonts w:ascii="Georgia" w:eastAsia="Georgia" w:hAnsi="Georgia" w:cs="Georgia"/>
          <w:smallCaps/>
          <w:color w:val="000000"/>
          <w:sz w:val="20"/>
          <w:szCs w:val="20"/>
        </w:rPr>
        <w:t>,</w:t>
      </w:r>
      <w:r>
        <w:rPr>
          <w:rFonts w:ascii="Georgia" w:eastAsia="Georgia" w:hAnsi="Georgia" w:cs="Georgia"/>
          <w:i/>
          <w:color w:val="000000"/>
          <w:sz w:val="20"/>
          <w:szCs w:val="20"/>
        </w:rPr>
        <w:t xml:space="preserve"> Visible, Though Not Visible in Itself”. Transparency at the Crossroads of International Financial Regulation and International Taxation</w:t>
      </w:r>
      <w:r>
        <w:rPr>
          <w:rFonts w:ascii="Georgia" w:eastAsia="Georgia" w:hAnsi="Georgia" w:cs="Georgia"/>
          <w:color w:val="000000"/>
          <w:sz w:val="20"/>
          <w:szCs w:val="20"/>
        </w:rPr>
        <w:t>, op. cit., 401.</w:t>
      </w:r>
    </w:p>
  </w:footnote>
  <w:footnote w:id="41">
    <w:p w14:paraId="000000AE" w14:textId="77777777" w:rsidR="00956D20" w:rsidRPr="00D11FA8" w:rsidRDefault="00E90E31">
      <w:pPr>
        <w:pBdr>
          <w:top w:val="nil"/>
          <w:left w:val="nil"/>
          <w:bottom w:val="nil"/>
          <w:right w:val="nil"/>
          <w:between w:val="nil"/>
        </w:pBdr>
        <w:spacing w:after="0" w:line="240" w:lineRule="auto"/>
        <w:jc w:val="both"/>
        <w:rPr>
          <w:rFonts w:ascii="Georgia" w:eastAsia="Georgia" w:hAnsi="Georgia" w:cs="Georgia"/>
          <w:color w:val="000000"/>
          <w:sz w:val="20"/>
          <w:szCs w:val="20"/>
          <w:lang w:val="it-IT"/>
        </w:rPr>
      </w:pPr>
      <w:r>
        <w:rPr>
          <w:vertAlign w:val="superscript"/>
        </w:rPr>
        <w:footnoteRef/>
      </w:r>
      <w:hyperlink r:id="rId1">
        <w:r w:rsidRPr="00D11FA8">
          <w:rPr>
            <w:rFonts w:ascii="Georgia" w:eastAsia="Georgia" w:hAnsi="Georgia" w:cs="Georgia"/>
            <w:color w:val="0000FF"/>
            <w:sz w:val="20"/>
            <w:szCs w:val="20"/>
            <w:u w:val="single"/>
            <w:lang w:val="it-IT"/>
          </w:rPr>
          <w:t>http://www.oecd.org/ctp/oecd-secretary-general-tax-report-g20-finance-ministers-june-2019.pdf</w:t>
        </w:r>
      </w:hyperlink>
      <w:r w:rsidRPr="00D11FA8">
        <w:rPr>
          <w:rFonts w:ascii="Georgia" w:eastAsia="Georgia" w:hAnsi="Georgia" w:cs="Georgia"/>
          <w:color w:val="0000FF"/>
          <w:sz w:val="20"/>
          <w:szCs w:val="20"/>
          <w:u w:val="single"/>
          <w:lang w:val="it-IT"/>
        </w:rPr>
        <w:t>, (Pag. 20)</w:t>
      </w:r>
    </w:p>
  </w:footnote>
  <w:footnote w:id="42">
    <w:p w14:paraId="000000AF" w14:textId="77777777" w:rsidR="00956D20" w:rsidRDefault="00E90E31">
      <w:pPr>
        <w:pBdr>
          <w:top w:val="nil"/>
          <w:left w:val="nil"/>
          <w:bottom w:val="nil"/>
          <w:right w:val="nil"/>
          <w:between w:val="nil"/>
        </w:pBdr>
        <w:spacing w:after="0" w:line="240" w:lineRule="auto"/>
        <w:jc w:val="both"/>
        <w:rPr>
          <w:rFonts w:ascii="Georgia" w:eastAsia="Georgia" w:hAnsi="Georgia" w:cs="Georgia"/>
          <w:b/>
          <w:i/>
          <w:color w:val="000000"/>
          <w:sz w:val="20"/>
          <w:szCs w:val="20"/>
        </w:rPr>
      </w:pPr>
      <w:r>
        <w:rPr>
          <w:vertAlign w:val="superscript"/>
        </w:rPr>
        <w:footnoteRef/>
      </w:r>
      <w:r>
        <w:rPr>
          <w:rFonts w:ascii="Georgia" w:eastAsia="Georgia" w:hAnsi="Georgia" w:cs="Georgia"/>
          <w:color w:val="000000"/>
          <w:sz w:val="20"/>
          <w:szCs w:val="20"/>
        </w:rPr>
        <w:t xml:space="preserve"> See https://www.oecd.org/tax/transparency/</w:t>
      </w:r>
    </w:p>
  </w:footnote>
  <w:footnote w:id="43">
    <w:p w14:paraId="000000B0" w14:textId="77777777" w:rsidR="00956D20" w:rsidRDefault="00E90E31">
      <w:pPr>
        <w:spacing w:after="0"/>
        <w:jc w:val="both"/>
        <w:rPr>
          <w:rFonts w:ascii="Georgia" w:eastAsia="Georgia" w:hAnsi="Georgia" w:cs="Georgia"/>
          <w:sz w:val="20"/>
          <w:szCs w:val="20"/>
        </w:rPr>
      </w:pPr>
      <w:r>
        <w:rPr>
          <w:vertAlign w:val="superscript"/>
        </w:rPr>
        <w:footnoteRef/>
      </w:r>
      <w:r>
        <w:rPr>
          <w:rFonts w:ascii="Georgia" w:eastAsia="Georgia" w:hAnsi="Georgia" w:cs="Georgia"/>
          <w:sz w:val="20"/>
          <w:szCs w:val="20"/>
        </w:rPr>
        <w:t xml:space="preserve"> See, particularly, </w:t>
      </w:r>
      <w:r>
        <w:rPr>
          <w:rFonts w:ascii="Georgia" w:eastAsia="Georgia" w:hAnsi="Georgia" w:cs="Georgia"/>
          <w:smallCaps/>
          <w:sz w:val="20"/>
          <w:szCs w:val="20"/>
        </w:rPr>
        <w:t xml:space="preserve">B. </w:t>
      </w:r>
      <w:proofErr w:type="spellStart"/>
      <w:r>
        <w:rPr>
          <w:rFonts w:ascii="Georgia" w:eastAsia="Georgia" w:hAnsi="Georgia" w:cs="Georgia"/>
          <w:smallCaps/>
          <w:sz w:val="20"/>
          <w:szCs w:val="20"/>
        </w:rPr>
        <w:t>Kuijper</w:t>
      </w:r>
      <w:proofErr w:type="spellEnd"/>
      <w:r>
        <w:rPr>
          <w:rFonts w:ascii="Georgia" w:eastAsia="Georgia" w:hAnsi="Georgia" w:cs="Georgia"/>
          <w:smallCaps/>
          <w:sz w:val="20"/>
          <w:szCs w:val="20"/>
        </w:rPr>
        <w:t xml:space="preserve"> -  T. Cameron – Z. </w:t>
      </w:r>
      <w:proofErr w:type="spellStart"/>
      <w:r>
        <w:rPr>
          <w:rFonts w:ascii="Georgia" w:eastAsia="Georgia" w:hAnsi="Georgia" w:cs="Georgia"/>
          <w:smallCaps/>
          <w:sz w:val="20"/>
          <w:szCs w:val="20"/>
        </w:rPr>
        <w:t>Szatmari</w:t>
      </w:r>
      <w:proofErr w:type="spellEnd"/>
      <w:r>
        <w:rPr>
          <w:rFonts w:ascii="Georgia" w:eastAsia="Georgia" w:hAnsi="Georgia" w:cs="Georgia"/>
          <w:smallCaps/>
          <w:sz w:val="20"/>
          <w:szCs w:val="20"/>
        </w:rPr>
        <w:t>,</w:t>
      </w:r>
      <w:r>
        <w:rPr>
          <w:rFonts w:ascii="Georgia" w:eastAsia="Georgia" w:hAnsi="Georgia" w:cs="Georgia"/>
          <w:color w:val="000000"/>
          <w:sz w:val="20"/>
          <w:szCs w:val="20"/>
        </w:rPr>
        <w:t xml:space="preserve"> </w:t>
      </w:r>
      <w:r>
        <w:rPr>
          <w:rFonts w:ascii="Georgia" w:eastAsia="Georgia" w:hAnsi="Georgia" w:cs="Georgia"/>
          <w:i/>
          <w:sz w:val="20"/>
          <w:szCs w:val="20"/>
        </w:rPr>
        <w:t xml:space="preserve">Technology-Enabled Tax Compliance </w:t>
      </w:r>
      <w:r>
        <w:rPr>
          <w:rFonts w:ascii="Georgia" w:eastAsia="Georgia" w:hAnsi="Georgia" w:cs="Georgia"/>
          <w:sz w:val="20"/>
          <w:szCs w:val="20"/>
        </w:rPr>
        <w:t>in Bulletin for International Taxation, 2020, 583. For general issues see J. Vella – M</w:t>
      </w:r>
      <w:r>
        <w:rPr>
          <w:rFonts w:ascii="Georgia" w:eastAsia="Georgia" w:hAnsi="Georgia" w:cs="Georgia"/>
          <w:smallCaps/>
          <w:sz w:val="20"/>
          <w:szCs w:val="20"/>
        </w:rPr>
        <w:t>. P. Deveraux,</w:t>
      </w:r>
      <w:r>
        <w:rPr>
          <w:rFonts w:ascii="Georgia" w:eastAsia="Georgia" w:hAnsi="Georgia" w:cs="Georgia"/>
          <w:sz w:val="20"/>
          <w:szCs w:val="20"/>
        </w:rPr>
        <w:t xml:space="preserve"> </w:t>
      </w:r>
      <w:r>
        <w:rPr>
          <w:rFonts w:ascii="Georgia" w:eastAsia="Georgia" w:hAnsi="Georgia" w:cs="Georgia"/>
          <w:i/>
          <w:sz w:val="20"/>
          <w:szCs w:val="20"/>
        </w:rPr>
        <w:t xml:space="preserve">Implications of Digitalization for International </w:t>
      </w:r>
      <w:proofErr w:type="spellStart"/>
      <w:r>
        <w:rPr>
          <w:rFonts w:ascii="Georgia" w:eastAsia="Georgia" w:hAnsi="Georgia" w:cs="Georgia"/>
          <w:i/>
          <w:sz w:val="20"/>
          <w:szCs w:val="20"/>
        </w:rPr>
        <w:t>Corporat</w:t>
      </w:r>
      <w:proofErr w:type="spellEnd"/>
      <w:r>
        <w:rPr>
          <w:rFonts w:ascii="Georgia" w:eastAsia="Georgia" w:hAnsi="Georgia" w:cs="Georgia"/>
          <w:i/>
          <w:sz w:val="20"/>
          <w:szCs w:val="20"/>
        </w:rPr>
        <w:t xml:space="preserve"> Tax Reform</w:t>
      </w:r>
      <w:r>
        <w:rPr>
          <w:rFonts w:ascii="Georgia" w:eastAsia="Georgia" w:hAnsi="Georgia" w:cs="Georgia"/>
          <w:sz w:val="20"/>
          <w:szCs w:val="20"/>
        </w:rPr>
        <w:t xml:space="preserve"> in EC Tax Review, 2018, 550.</w:t>
      </w:r>
    </w:p>
  </w:footnote>
  <w:footnote w:id="44">
    <w:p w14:paraId="000000B1" w14:textId="09C1B03C" w:rsidR="00956D20" w:rsidRDefault="00E90E31">
      <w:pPr>
        <w:spacing w:after="0"/>
        <w:jc w:val="both"/>
        <w:rPr>
          <w:rFonts w:ascii="Georgia" w:eastAsia="Georgia" w:hAnsi="Georgia" w:cs="Georgia"/>
          <w:sz w:val="20"/>
          <w:szCs w:val="20"/>
        </w:rPr>
      </w:pPr>
      <w:r>
        <w:rPr>
          <w:vertAlign w:val="superscript"/>
        </w:rPr>
        <w:footnoteRef/>
      </w:r>
      <w:hyperlink r:id="rId2">
        <w:r>
          <w:rPr>
            <w:rFonts w:ascii="Georgia" w:eastAsia="Georgia" w:hAnsi="Georgia" w:cs="Georgia"/>
            <w:color w:val="0000FF"/>
            <w:sz w:val="20"/>
            <w:szCs w:val="20"/>
            <w:u w:val="single"/>
          </w:rPr>
          <w:t>http://www.oecd.org/tax/transparency/what-we-do/technical-assistance/technical-assistance-on-confidentiality-and-data-safeguards.htm</w:t>
        </w:r>
      </w:hyperlink>
      <w:r>
        <w:rPr>
          <w:rFonts w:ascii="Georgia" w:eastAsia="Georgia" w:hAnsi="Georgia" w:cs="Georgia"/>
          <w:color w:val="0000FF"/>
          <w:sz w:val="20"/>
          <w:szCs w:val="20"/>
          <w:u w:val="single"/>
        </w:rPr>
        <w:t xml:space="preserve"> </w:t>
      </w:r>
      <w:r>
        <w:rPr>
          <w:rFonts w:ascii="Georgia" w:eastAsia="Georgia" w:hAnsi="Georgia" w:cs="Georgia"/>
          <w:sz w:val="20"/>
          <w:szCs w:val="20"/>
        </w:rPr>
        <w:t>Currently, the Global Forum has 158 participants from different continents sharing completely different social,</w:t>
      </w:r>
      <w:r w:rsidR="005D0BD8">
        <w:rPr>
          <w:rFonts w:ascii="Georgia" w:eastAsia="Georgia" w:hAnsi="Georgia" w:cs="Georgia"/>
          <w:sz w:val="20"/>
          <w:szCs w:val="20"/>
        </w:rPr>
        <w:t xml:space="preserve"> </w:t>
      </w:r>
      <w:r>
        <w:rPr>
          <w:rFonts w:ascii="Georgia" w:eastAsia="Georgia" w:hAnsi="Georgia" w:cs="Georgia"/>
          <w:sz w:val="20"/>
          <w:szCs w:val="20"/>
        </w:rPr>
        <w:t>political, and economic features as well as levels of development.</w:t>
      </w:r>
    </w:p>
  </w:footnote>
  <w:footnote w:id="45">
    <w:p w14:paraId="000000B2" w14:textId="77777777" w:rsidR="00956D20" w:rsidRDefault="00E90E31">
      <w:pPr>
        <w:spacing w:after="0"/>
        <w:jc w:val="both"/>
        <w:rPr>
          <w:rFonts w:ascii="AdvOTfd7dc6d4.B" w:eastAsia="AdvOTfd7dc6d4.B" w:hAnsi="AdvOTfd7dc6d4.B" w:cs="AdvOTfd7dc6d4.B"/>
          <w:sz w:val="36"/>
          <w:szCs w:val="36"/>
        </w:rPr>
      </w:pPr>
      <w:r>
        <w:rPr>
          <w:vertAlign w:val="superscript"/>
        </w:rPr>
        <w:footnoteRef/>
      </w:r>
      <w:r>
        <w:rPr>
          <w:rFonts w:ascii="Georgia" w:eastAsia="Georgia" w:hAnsi="Georgia" w:cs="Georgia"/>
          <w:sz w:val="20"/>
          <w:szCs w:val="20"/>
        </w:rPr>
        <w:t xml:space="preserve"> See recently, </w:t>
      </w:r>
      <w:r>
        <w:rPr>
          <w:rFonts w:ascii="Georgia" w:eastAsia="Georgia" w:hAnsi="Georgia" w:cs="Georgia"/>
          <w:smallCaps/>
          <w:sz w:val="20"/>
          <w:szCs w:val="20"/>
        </w:rPr>
        <w:t xml:space="preserve">R. C. </w:t>
      </w:r>
      <w:proofErr w:type="spellStart"/>
      <w:r>
        <w:rPr>
          <w:rFonts w:ascii="Georgia" w:eastAsia="Georgia" w:hAnsi="Georgia" w:cs="Georgia"/>
          <w:smallCaps/>
          <w:sz w:val="20"/>
          <w:szCs w:val="20"/>
        </w:rPr>
        <w:t>Leite</w:t>
      </w:r>
      <w:proofErr w:type="spellEnd"/>
      <w:r>
        <w:rPr>
          <w:rFonts w:ascii="Georgia" w:eastAsia="Georgia" w:hAnsi="Georgia" w:cs="Georgia"/>
          <w:smallCaps/>
          <w:sz w:val="20"/>
          <w:szCs w:val="20"/>
        </w:rPr>
        <w:t xml:space="preserve"> Pereira</w:t>
      </w:r>
      <w:r>
        <w:rPr>
          <w:rFonts w:ascii="Georgia" w:eastAsia="Georgia" w:hAnsi="Georgia" w:cs="Georgia"/>
          <w:sz w:val="20"/>
          <w:szCs w:val="20"/>
        </w:rPr>
        <w:t xml:space="preserve"> </w:t>
      </w:r>
      <w:r>
        <w:rPr>
          <w:rFonts w:ascii="Georgia" w:eastAsia="Georgia" w:hAnsi="Georgia" w:cs="Georgia"/>
          <w:i/>
          <w:sz w:val="20"/>
          <w:szCs w:val="20"/>
        </w:rPr>
        <w:t>The Emergence of Transparency and Exchange of Information for Tax Purposes on Request as an International Tax Custom</w:t>
      </w:r>
      <w:r>
        <w:rPr>
          <w:rFonts w:ascii="Georgia" w:eastAsia="Georgia" w:hAnsi="Georgia" w:cs="Georgia"/>
          <w:sz w:val="20"/>
          <w:szCs w:val="20"/>
        </w:rPr>
        <w:t xml:space="preserve"> in Intertax, 2020, 624.</w:t>
      </w:r>
    </w:p>
  </w:footnote>
  <w:footnote w:id="46">
    <w:p w14:paraId="2967CC90" w14:textId="4F9D3D87" w:rsidR="00E57D41" w:rsidRPr="00E57D41" w:rsidRDefault="00E57D41" w:rsidP="00E57D41">
      <w:pPr>
        <w:pStyle w:val="Testonotaapidipagina"/>
        <w:jc w:val="both"/>
        <w:rPr>
          <w:rFonts w:ascii="Georgia" w:hAnsi="Georgia"/>
          <w:lang w:val="en-US"/>
        </w:rPr>
      </w:pPr>
      <w:r w:rsidRPr="00E57D41">
        <w:rPr>
          <w:rStyle w:val="Rimandonotaapidipagina"/>
          <w:rFonts w:ascii="Georgia" w:hAnsi="Georgia"/>
        </w:rPr>
        <w:footnoteRef/>
      </w:r>
      <w:r w:rsidRPr="00E57D41">
        <w:rPr>
          <w:rFonts w:ascii="Georgia" w:hAnsi="Georgia"/>
          <w:lang w:val="en-US"/>
        </w:rPr>
        <w:t xml:space="preserve"> On these profiles it is useful to point out a recent ruling made in Italy by the Council of State, December 13, 2019, No. 8472. </w:t>
      </w:r>
      <w:r w:rsidRPr="00E57D41">
        <w:rPr>
          <w:rFonts w:ascii="Georgia" w:hAnsi="Georgia"/>
          <w:shd w:val="clear" w:color="auto" w:fill="FFFFFF"/>
          <w:lang w:val="en-US"/>
        </w:rPr>
        <w:t>In this judgment it was clarified that the use of digital procedures, for the formation of the administrative decision entrusted to a software, in which a series of data are entered so as to reach, through the automation of the procedure and on the basis of an algorithm, the final decision, although fully admissible, can</w:t>
      </w:r>
      <w:r>
        <w:rPr>
          <w:rFonts w:ascii="Georgia" w:hAnsi="Georgia"/>
          <w:shd w:val="clear" w:color="auto" w:fill="FFFFFF"/>
          <w:lang w:val="en-US"/>
        </w:rPr>
        <w:t>n</w:t>
      </w:r>
      <w:r w:rsidRPr="00E57D41">
        <w:rPr>
          <w:rFonts w:ascii="Georgia" w:hAnsi="Georgia"/>
          <w:shd w:val="clear" w:color="auto" w:fill="FFFFFF"/>
          <w:lang w:val="en-US"/>
        </w:rPr>
        <w:t>ot be a reason to circumvent the principles that conform the legal system and regulate the conduct of administrative activity.</w:t>
      </w:r>
      <w:r w:rsidRPr="00E57D41">
        <w:rPr>
          <w:rFonts w:ascii="Georgia" w:hAnsi="Georgia"/>
          <w:lang w:val="en-US"/>
        </w:rPr>
        <w:t xml:space="preserve"> The use of the algorithm must be correctly framed in terms of organizational module, procedural and investigative tool, subject to the normal checks typical of any administrative procedure, which remains the modus operandi of the authoritative choice, to be carried out on the basis of the legislation attributing the power and the purposes from the same attributed to the public body.</w:t>
      </w:r>
    </w:p>
  </w:footnote>
  <w:footnote w:id="47">
    <w:p w14:paraId="0E1F6D15" w14:textId="77777777" w:rsidR="00E57D41" w:rsidRPr="001B6AE9" w:rsidRDefault="00E57D41" w:rsidP="00E57D41">
      <w:pPr>
        <w:pStyle w:val="Testonotaapidipagina"/>
        <w:jc w:val="both"/>
        <w:rPr>
          <w:rFonts w:ascii="Georgia" w:hAnsi="Georgia"/>
          <w:lang w:val="en-US"/>
        </w:rPr>
      </w:pPr>
      <w:r w:rsidRPr="001B6AE9">
        <w:rPr>
          <w:rStyle w:val="Rimandonotaapidipagina"/>
          <w:rFonts w:ascii="Georgia" w:hAnsi="Georgia"/>
        </w:rPr>
        <w:footnoteRef/>
      </w:r>
      <w:r w:rsidRPr="001B6AE9">
        <w:rPr>
          <w:rFonts w:ascii="Georgia" w:hAnsi="Georgia"/>
          <w:lang w:val="en-US"/>
        </w:rPr>
        <w:t xml:space="preserve"> And, as always, in the logic of the rule of law, a measure of guarantee for the taxpayer is all the more reasonable and well-founded, the more responsive also to the public interest: it makes no sense for </w:t>
      </w:r>
      <w:r>
        <w:rPr>
          <w:rFonts w:ascii="Georgia" w:hAnsi="Georgia"/>
          <w:lang w:val="en-US"/>
        </w:rPr>
        <w:t>the Tax Authority</w:t>
      </w:r>
      <w:r w:rsidRPr="001B6AE9">
        <w:rPr>
          <w:rFonts w:ascii="Georgia" w:hAnsi="Georgia"/>
          <w:lang w:val="en-US"/>
        </w:rPr>
        <w:t xml:space="preserve"> to take five years to do a check that technically </w:t>
      </w:r>
      <w:r>
        <w:rPr>
          <w:rFonts w:ascii="Georgia" w:hAnsi="Georgia"/>
          <w:lang w:val="en-US"/>
        </w:rPr>
        <w:t>can be done</w:t>
      </w:r>
      <w:r w:rsidRPr="001B6AE9">
        <w:rPr>
          <w:rFonts w:ascii="Georgia" w:hAnsi="Georgia"/>
          <w:lang w:val="en-US"/>
        </w:rPr>
        <w:t xml:space="preserve"> in a few months. The persistence of long lapses of time becomes a factor of inefficiency of the tax authorities.</w:t>
      </w:r>
    </w:p>
  </w:footnote>
  <w:footnote w:id="48">
    <w:p w14:paraId="66A87E04" w14:textId="77777777" w:rsidR="00E57D41" w:rsidRPr="001B6AE9" w:rsidRDefault="00E57D41" w:rsidP="00E57D41">
      <w:pPr>
        <w:pStyle w:val="Testonotaapidipagina"/>
        <w:jc w:val="both"/>
        <w:rPr>
          <w:rFonts w:ascii="Georgia" w:hAnsi="Georgia"/>
          <w:lang w:val="en-US"/>
        </w:rPr>
      </w:pPr>
      <w:r w:rsidRPr="001B6AE9">
        <w:rPr>
          <w:rStyle w:val="Rimandonotaapidipagina"/>
          <w:rFonts w:ascii="Georgia" w:hAnsi="Georgia"/>
        </w:rPr>
        <w:footnoteRef/>
      </w:r>
      <w:r w:rsidRPr="001B6AE9">
        <w:rPr>
          <w:rFonts w:ascii="Georgia" w:hAnsi="Georgia"/>
          <w:lang w:val="en-US"/>
        </w:rPr>
        <w:t xml:space="preserve"> Once again it is clear that it makes no sense - as often happens - to disjoin and oppose taxpayer guarantees and good administrative action. If the collection agent can count on a ten-year period, the collection action takes on a ten-year duration, resulting in serious and chronic delays, dissipation of the debtor taxpayer's assets, unforeseeable obstacles, etc.; vice versa if the collection action must be exercised in two years.....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0B3" w14:textId="77777777" w:rsidR="00956D20" w:rsidRDefault="00956D20">
    <w:pPr>
      <w:pBdr>
        <w:top w:val="nil"/>
        <w:left w:val="nil"/>
        <w:bottom w:val="nil"/>
        <w:right w:val="nil"/>
        <w:between w:val="nil"/>
      </w:pBdr>
      <w:tabs>
        <w:tab w:val="center" w:pos="4819"/>
        <w:tab w:val="right" w:pos="9638"/>
      </w:tabs>
      <w:spacing w:after="0" w:line="240" w:lineRule="auto"/>
      <w:jc w:val="right"/>
      <w:rPr>
        <w:rFonts w:ascii="Georgia" w:eastAsia="Georgia" w:hAnsi="Georgia" w:cs="Georgia"/>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5BD7EAF"/>
    <w:multiLevelType w:val="multilevel"/>
    <w:tmpl w:val="908CDA20"/>
    <w:lvl w:ilvl="0">
      <w:start w:val="2"/>
      <w:numFmt w:val="bullet"/>
      <w:lvlText w:val="-"/>
      <w:lvlJc w:val="left"/>
      <w:pPr>
        <w:ind w:left="1047" w:hanging="360"/>
      </w:pPr>
      <w:rPr>
        <w:rFonts w:ascii="Georgia" w:eastAsia="Georgia" w:hAnsi="Georgia" w:cs="Georgia"/>
      </w:rPr>
    </w:lvl>
    <w:lvl w:ilvl="1">
      <w:start w:val="1"/>
      <w:numFmt w:val="bullet"/>
      <w:lvlText w:val="o"/>
      <w:lvlJc w:val="left"/>
      <w:pPr>
        <w:ind w:left="1767" w:hanging="360"/>
      </w:pPr>
      <w:rPr>
        <w:rFonts w:ascii="Courier New" w:eastAsia="Courier New" w:hAnsi="Courier New" w:cs="Courier New"/>
      </w:rPr>
    </w:lvl>
    <w:lvl w:ilvl="2">
      <w:start w:val="1"/>
      <w:numFmt w:val="bullet"/>
      <w:lvlText w:val="▪"/>
      <w:lvlJc w:val="left"/>
      <w:pPr>
        <w:ind w:left="2487" w:hanging="360"/>
      </w:pPr>
      <w:rPr>
        <w:rFonts w:ascii="Noto Sans Symbols" w:eastAsia="Noto Sans Symbols" w:hAnsi="Noto Sans Symbols" w:cs="Noto Sans Symbols"/>
      </w:rPr>
    </w:lvl>
    <w:lvl w:ilvl="3">
      <w:start w:val="1"/>
      <w:numFmt w:val="bullet"/>
      <w:lvlText w:val="●"/>
      <w:lvlJc w:val="left"/>
      <w:pPr>
        <w:ind w:left="3207" w:hanging="360"/>
      </w:pPr>
      <w:rPr>
        <w:rFonts w:ascii="Noto Sans Symbols" w:eastAsia="Noto Sans Symbols" w:hAnsi="Noto Sans Symbols" w:cs="Noto Sans Symbols"/>
      </w:rPr>
    </w:lvl>
    <w:lvl w:ilvl="4">
      <w:start w:val="1"/>
      <w:numFmt w:val="bullet"/>
      <w:lvlText w:val="o"/>
      <w:lvlJc w:val="left"/>
      <w:pPr>
        <w:ind w:left="3927" w:hanging="360"/>
      </w:pPr>
      <w:rPr>
        <w:rFonts w:ascii="Courier New" w:eastAsia="Courier New" w:hAnsi="Courier New" w:cs="Courier New"/>
      </w:rPr>
    </w:lvl>
    <w:lvl w:ilvl="5">
      <w:start w:val="1"/>
      <w:numFmt w:val="bullet"/>
      <w:lvlText w:val="▪"/>
      <w:lvlJc w:val="left"/>
      <w:pPr>
        <w:ind w:left="4647" w:hanging="360"/>
      </w:pPr>
      <w:rPr>
        <w:rFonts w:ascii="Noto Sans Symbols" w:eastAsia="Noto Sans Symbols" w:hAnsi="Noto Sans Symbols" w:cs="Noto Sans Symbols"/>
      </w:rPr>
    </w:lvl>
    <w:lvl w:ilvl="6">
      <w:start w:val="1"/>
      <w:numFmt w:val="bullet"/>
      <w:lvlText w:val="●"/>
      <w:lvlJc w:val="left"/>
      <w:pPr>
        <w:ind w:left="5367" w:hanging="360"/>
      </w:pPr>
      <w:rPr>
        <w:rFonts w:ascii="Noto Sans Symbols" w:eastAsia="Noto Sans Symbols" w:hAnsi="Noto Sans Symbols" w:cs="Noto Sans Symbols"/>
      </w:rPr>
    </w:lvl>
    <w:lvl w:ilvl="7">
      <w:start w:val="1"/>
      <w:numFmt w:val="bullet"/>
      <w:lvlText w:val="o"/>
      <w:lvlJc w:val="left"/>
      <w:pPr>
        <w:ind w:left="6087" w:hanging="360"/>
      </w:pPr>
      <w:rPr>
        <w:rFonts w:ascii="Courier New" w:eastAsia="Courier New" w:hAnsi="Courier New" w:cs="Courier New"/>
      </w:rPr>
    </w:lvl>
    <w:lvl w:ilvl="8">
      <w:start w:val="1"/>
      <w:numFmt w:val="bullet"/>
      <w:lvlText w:val="▪"/>
      <w:lvlJc w:val="left"/>
      <w:pPr>
        <w:ind w:left="6807" w:hanging="360"/>
      </w:pPr>
      <w:rPr>
        <w:rFonts w:ascii="Noto Sans Symbols" w:eastAsia="Noto Sans Symbols" w:hAnsi="Noto Sans Symbols" w:cs="Noto Sans Symbols"/>
      </w:rPr>
    </w:lvl>
  </w:abstractNum>
  <w:abstractNum w:abstractNumId="1" w15:restartNumberingAfterBreak="0">
    <w:nsid w:val="39874294"/>
    <w:multiLevelType w:val="hybridMultilevel"/>
    <w:tmpl w:val="6096F69C"/>
    <w:lvl w:ilvl="0" w:tplc="BA7CB662">
      <w:numFmt w:val="bullet"/>
      <w:lvlText w:val="-"/>
      <w:lvlJc w:val="left"/>
      <w:pPr>
        <w:ind w:left="720" w:hanging="360"/>
      </w:pPr>
      <w:rPr>
        <w:rFonts w:ascii="Calibri" w:eastAsiaTheme="minorHAns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 w15:restartNumberingAfterBreak="0">
    <w:nsid w:val="583B24E0"/>
    <w:multiLevelType w:val="multilevel"/>
    <w:tmpl w:val="C39A68A4"/>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25"/>
  <w:proofState w:spelling="clean"/>
  <w:defaultTabStop w:val="720"/>
  <w:hyphenationZone w:val="283"/>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6D20"/>
    <w:rsid w:val="000301A8"/>
    <w:rsid w:val="001212EC"/>
    <w:rsid w:val="00140ACF"/>
    <w:rsid w:val="001E28A2"/>
    <w:rsid w:val="001F3575"/>
    <w:rsid w:val="001F6C94"/>
    <w:rsid w:val="00250C6E"/>
    <w:rsid w:val="00253AEC"/>
    <w:rsid w:val="00283E1E"/>
    <w:rsid w:val="0030714E"/>
    <w:rsid w:val="00346B72"/>
    <w:rsid w:val="0037388E"/>
    <w:rsid w:val="0038228F"/>
    <w:rsid w:val="003830B5"/>
    <w:rsid w:val="00417F4E"/>
    <w:rsid w:val="004511AC"/>
    <w:rsid w:val="004C4421"/>
    <w:rsid w:val="00504E66"/>
    <w:rsid w:val="005113BF"/>
    <w:rsid w:val="005200CD"/>
    <w:rsid w:val="0055372D"/>
    <w:rsid w:val="00597153"/>
    <w:rsid w:val="005A4087"/>
    <w:rsid w:val="005B2455"/>
    <w:rsid w:val="005B4AA9"/>
    <w:rsid w:val="005B78EB"/>
    <w:rsid w:val="005D0BD8"/>
    <w:rsid w:val="005E4FF1"/>
    <w:rsid w:val="005F37E5"/>
    <w:rsid w:val="00602043"/>
    <w:rsid w:val="00690BEC"/>
    <w:rsid w:val="00690D27"/>
    <w:rsid w:val="006D0036"/>
    <w:rsid w:val="006D5D32"/>
    <w:rsid w:val="006E01AC"/>
    <w:rsid w:val="006F71AC"/>
    <w:rsid w:val="007D3BF8"/>
    <w:rsid w:val="007F0B51"/>
    <w:rsid w:val="00956D20"/>
    <w:rsid w:val="0097031C"/>
    <w:rsid w:val="00995BB8"/>
    <w:rsid w:val="009B288F"/>
    <w:rsid w:val="009F2AFE"/>
    <w:rsid w:val="00A3532C"/>
    <w:rsid w:val="00A67C98"/>
    <w:rsid w:val="00AB0CF4"/>
    <w:rsid w:val="00AE0E0C"/>
    <w:rsid w:val="00AE464F"/>
    <w:rsid w:val="00B154B2"/>
    <w:rsid w:val="00BB5C98"/>
    <w:rsid w:val="00BE25D0"/>
    <w:rsid w:val="00C21D05"/>
    <w:rsid w:val="00C41D63"/>
    <w:rsid w:val="00C555C3"/>
    <w:rsid w:val="00CD473F"/>
    <w:rsid w:val="00D11FA8"/>
    <w:rsid w:val="00D57CC4"/>
    <w:rsid w:val="00E04AD0"/>
    <w:rsid w:val="00E3159E"/>
    <w:rsid w:val="00E57D41"/>
    <w:rsid w:val="00E90E31"/>
    <w:rsid w:val="00E96797"/>
    <w:rsid w:val="00FA49DD"/>
    <w:rsid w:val="00FD28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12AD032"/>
  <w15:docId w15:val="{7CAA7D61-3466-4B4E-8BAF-D4268ED3A1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US"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240" w:after="0"/>
      <w:outlineLvl w:val="0"/>
    </w:pPr>
    <w:rPr>
      <w:color w:val="2F5496"/>
      <w:sz w:val="32"/>
      <w:szCs w:val="32"/>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paragraph" w:styleId="Testofumetto">
    <w:name w:val="Balloon Text"/>
    <w:basedOn w:val="Normale"/>
    <w:link w:val="TestofumettoCarattere"/>
    <w:uiPriority w:val="99"/>
    <w:semiHidden/>
    <w:unhideWhenUsed/>
    <w:rsid w:val="00597153"/>
    <w:pPr>
      <w:spacing w:after="0" w:line="240" w:lineRule="auto"/>
    </w:pPr>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597153"/>
    <w:rPr>
      <w:rFonts w:ascii="Times New Roman" w:hAnsi="Times New Roman" w:cs="Times New Roman"/>
      <w:sz w:val="18"/>
      <w:szCs w:val="18"/>
    </w:rPr>
  </w:style>
  <w:style w:type="paragraph" w:styleId="Revisione">
    <w:name w:val="Revision"/>
    <w:hidden/>
    <w:uiPriority w:val="99"/>
    <w:semiHidden/>
    <w:rsid w:val="00504E66"/>
    <w:pPr>
      <w:spacing w:after="0" w:line="240" w:lineRule="auto"/>
    </w:pPr>
  </w:style>
  <w:style w:type="paragraph" w:styleId="Testonotaapidipagina">
    <w:name w:val="footnote text"/>
    <w:aliases w:val="listado bibliográfico,Footnote Text Char1,Footnote Text Char Char,Footnote Text Char2 Char Char,Footnote Text Char1 Char1 Char Char,Footnote Text Char Char Char Char Char"/>
    <w:basedOn w:val="Normale"/>
    <w:link w:val="TestonotaapidipaginaCarattere"/>
    <w:uiPriority w:val="99"/>
    <w:unhideWhenUsed/>
    <w:rsid w:val="00D11FA8"/>
    <w:pPr>
      <w:spacing w:after="0" w:line="240" w:lineRule="auto"/>
    </w:pPr>
    <w:rPr>
      <w:rFonts w:asciiTheme="minorHAnsi" w:eastAsiaTheme="minorHAnsi" w:hAnsiTheme="minorHAnsi" w:cstheme="minorBidi"/>
      <w:sz w:val="20"/>
      <w:szCs w:val="20"/>
      <w:lang w:val="it-IT" w:eastAsia="en-US"/>
    </w:rPr>
  </w:style>
  <w:style w:type="character" w:customStyle="1" w:styleId="TestonotaapidipaginaCarattere">
    <w:name w:val="Testo nota a piè di pagina Carattere"/>
    <w:aliases w:val="listado bibliográfico Carattere,Footnote Text Char1 Carattere,Footnote Text Char Char Carattere,Footnote Text Char2 Char Char Carattere,Footnote Text Char1 Char1 Char Char Carattere"/>
    <w:basedOn w:val="Carpredefinitoparagrafo"/>
    <w:link w:val="Testonotaapidipagina"/>
    <w:uiPriority w:val="99"/>
    <w:rsid w:val="00D11FA8"/>
    <w:rPr>
      <w:rFonts w:asciiTheme="minorHAnsi" w:eastAsiaTheme="minorHAnsi" w:hAnsiTheme="minorHAnsi" w:cstheme="minorBidi"/>
      <w:sz w:val="20"/>
      <w:szCs w:val="20"/>
      <w:lang w:val="it-IT" w:eastAsia="en-US"/>
    </w:rPr>
  </w:style>
  <w:style w:type="character" w:styleId="Rimandonotaapidipagina">
    <w:name w:val="footnote reference"/>
    <w:basedOn w:val="Carpredefinitoparagrafo"/>
    <w:uiPriority w:val="99"/>
    <w:semiHidden/>
    <w:unhideWhenUsed/>
    <w:rsid w:val="00D11FA8"/>
    <w:rPr>
      <w:vertAlign w:val="superscript"/>
    </w:rPr>
  </w:style>
  <w:style w:type="paragraph" w:styleId="Sommario1">
    <w:name w:val="toc 1"/>
    <w:basedOn w:val="Normale"/>
    <w:next w:val="Normale"/>
    <w:autoRedefine/>
    <w:uiPriority w:val="39"/>
    <w:unhideWhenUsed/>
    <w:rsid w:val="00D11FA8"/>
    <w:pPr>
      <w:spacing w:after="100"/>
    </w:pPr>
  </w:style>
  <w:style w:type="character" w:styleId="Collegamentoipertestuale">
    <w:name w:val="Hyperlink"/>
    <w:basedOn w:val="Carpredefinitoparagrafo"/>
    <w:uiPriority w:val="99"/>
    <w:unhideWhenUsed/>
    <w:rsid w:val="00D11FA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www.oecd.org/tax/transparency/what-we-do/technical-assistance/technical-assistance-on-confidentiality-and-data-safeguards.htm" TargetMode="External"/><Relationship Id="rId1" Type="http://schemas.openxmlformats.org/officeDocument/2006/relationships/hyperlink" Target="http://www.oecd.org/ctp/oecd-secretary-general-tax-report-g20-finance-ministers-june-201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BF7B45-DC24-471D-92D8-7DEEF312F9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18</Pages>
  <Words>5744</Words>
  <Characters>32745</Characters>
  <Application>Microsoft Office Word</Application>
  <DocSecurity>0</DocSecurity>
  <Lines>272</Lines>
  <Paragraphs>76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38413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Silvia</dc:creator>
  <cp:lastModifiedBy>Utente di Microsoft Office</cp:lastModifiedBy>
  <cp:revision>3</cp:revision>
  <dcterms:created xsi:type="dcterms:W3CDTF">2021-11-14T07:52:00Z</dcterms:created>
  <dcterms:modified xsi:type="dcterms:W3CDTF">2021-11-14T08:07:00Z</dcterms:modified>
</cp:coreProperties>
</file>