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899713" w14:textId="77777777" w:rsidR="00167830" w:rsidRDefault="00167830" w:rsidP="00167830">
      <w:pPr>
        <w:pStyle w:val="Testonormale"/>
      </w:pPr>
      <w:r>
        <w:t>Accepted version</w:t>
      </w:r>
    </w:p>
    <w:p w14:paraId="1D758AAC" w14:textId="77777777" w:rsidR="00167830" w:rsidRDefault="00167830" w:rsidP="00167830">
      <w:pPr>
        <w:pStyle w:val="Testonormale"/>
      </w:pPr>
      <w:r>
        <w:t>Licence CC BY-NC-ND</w:t>
      </w:r>
    </w:p>
    <w:p w14:paraId="4155A8FF" w14:textId="77777777" w:rsidR="00167830" w:rsidRDefault="00167830" w:rsidP="00167830">
      <w:pPr>
        <w:pStyle w:val="Testonormale"/>
      </w:pPr>
      <w:r>
        <w:t>Please cite as:</w:t>
      </w:r>
    </w:p>
    <w:p w14:paraId="0D5CCB5B" w14:textId="283DA4DC" w:rsidR="00167830" w:rsidRDefault="00167830" w:rsidP="00167830">
      <w:pPr>
        <w:pStyle w:val="Testonormale"/>
      </w:pPr>
      <w:r>
        <w:t xml:space="preserve">Savino et al., </w:t>
      </w:r>
      <w:r w:rsidR="00C42ACF">
        <w:t>European Journal of Medicinal Chemistry, 2018, 158, 184-200</w:t>
      </w:r>
    </w:p>
    <w:p w14:paraId="610EBE75" w14:textId="07F4F37E" w:rsidR="00C42ACF" w:rsidRPr="00E82E98" w:rsidRDefault="00167830" w:rsidP="00C42ACF">
      <w:pPr>
        <w:ind w:left="708" w:hanging="566"/>
        <w:rPr>
          <w:rFonts w:ascii="Tahoma" w:hAnsi="Tahoma" w:cs="Tahoma"/>
        </w:rPr>
      </w:pPr>
      <w:r>
        <w:t xml:space="preserve">doi: </w:t>
      </w:r>
      <w:r>
        <w:fldChar w:fldCharType="begin"/>
      </w:r>
      <w:r>
        <w:instrText xml:space="preserve"> HYPERLINK "https://doi.org/10.XXXX/XXXXXXXXXXXX" </w:instrText>
      </w:r>
      <w:r>
        <w:fldChar w:fldCharType="separate"/>
      </w:r>
      <w:r w:rsidR="00C42ACF">
        <w:rPr>
          <w:rStyle w:val="Collegamentoipertestuale"/>
        </w:rPr>
        <w:t>https://</w:t>
      </w:r>
      <w:hyperlink r:id="rId7" w:tgtFrame="_blank" w:tooltip="Persistent link using digital object identifier" w:history="1">
        <w:r w:rsidR="00C42ACF" w:rsidRPr="00E82E98">
          <w:rPr>
            <w:rStyle w:val="Collegamentoipertestuale"/>
            <w:rFonts w:ascii="Tahoma" w:hAnsi="Tahoma" w:cs="Tahoma"/>
            <w:color w:val="007398"/>
            <w:sz w:val="20"/>
          </w:rPr>
          <w:t>doi.org/10.1016/j.ejmech.2018.08.044</w:t>
        </w:r>
      </w:hyperlink>
    </w:p>
    <w:p w14:paraId="749697FF" w14:textId="5E4A3CE3" w:rsidR="00167830" w:rsidRDefault="00167830" w:rsidP="00167830">
      <w:pPr>
        <w:pStyle w:val="Testonormale"/>
      </w:pPr>
      <w:r>
        <w:fldChar w:fldCharType="end"/>
      </w:r>
    </w:p>
    <w:p w14:paraId="5051FAAF" w14:textId="77777777" w:rsidR="00167830" w:rsidRDefault="00167830" w:rsidP="00167830">
      <w:pPr>
        <w:pStyle w:val="Testonormale"/>
      </w:pPr>
    </w:p>
    <w:p w14:paraId="64E13935" w14:textId="77777777" w:rsidR="00167830" w:rsidRDefault="00167830">
      <w:pPr>
        <w:rPr>
          <w:rFonts w:ascii="AdvOT863180fb" w:eastAsia="Times New Roman" w:hAnsi="AdvOT863180fb" w:cs="AdvOT863180fb"/>
          <w:color w:val="2197D2"/>
          <w:lang w:eastAsia="ja-JP"/>
        </w:rPr>
      </w:pPr>
      <w:r>
        <w:rPr>
          <w:rFonts w:ascii="AdvOT863180fb" w:hAnsi="AdvOT863180fb" w:cs="AdvOT863180fb"/>
          <w:color w:val="2197D2"/>
          <w:lang w:eastAsia="ja-JP"/>
        </w:rPr>
        <w:br w:type="page"/>
      </w:r>
      <w:bookmarkStart w:id="0" w:name="_GoBack"/>
      <w:bookmarkEnd w:id="0"/>
    </w:p>
    <w:p w14:paraId="5BA893BE" w14:textId="740AFEE3" w:rsidR="00CD5941" w:rsidRPr="00CD5941" w:rsidRDefault="00CD5941" w:rsidP="00C024DD">
      <w:pPr>
        <w:pStyle w:val="BATitle"/>
        <w:spacing w:line="240" w:lineRule="auto"/>
        <w:rPr>
          <w:sz w:val="24"/>
          <w:szCs w:val="24"/>
        </w:rPr>
      </w:pPr>
      <w:r w:rsidRPr="00CD5941">
        <w:rPr>
          <w:rFonts w:ascii="AdvOT863180fb" w:hAnsi="AdvOT863180fb" w:cs="AdvOT863180fb"/>
          <w:color w:val="2197D2"/>
          <w:sz w:val="24"/>
          <w:szCs w:val="24"/>
          <w:lang w:eastAsia="ja-JP"/>
        </w:rPr>
        <w:lastRenderedPageBreak/>
        <w:t>European Journal of Medicinal Chemistry 158 (2018) 184</w:t>
      </w:r>
      <w:r w:rsidR="003D131B">
        <w:rPr>
          <w:rFonts w:ascii="AdvPS44A44B" w:hAnsi="AdvPS44A44B" w:cs="AdvPS44A44B"/>
          <w:color w:val="2197D2"/>
          <w:sz w:val="24"/>
          <w:szCs w:val="24"/>
          <w:lang w:eastAsia="ja-JP"/>
        </w:rPr>
        <w:t>-</w:t>
      </w:r>
      <w:r w:rsidRPr="00CD5941">
        <w:rPr>
          <w:rFonts w:ascii="AdvOT863180fb" w:hAnsi="AdvOT863180fb" w:cs="AdvOT863180fb"/>
          <w:color w:val="2197D2"/>
          <w:sz w:val="24"/>
          <w:szCs w:val="24"/>
          <w:lang w:eastAsia="ja-JP"/>
        </w:rPr>
        <w:t>200</w:t>
      </w:r>
    </w:p>
    <w:p w14:paraId="10EEA162" w14:textId="50E42692" w:rsidR="00303C47" w:rsidRPr="00B60938" w:rsidRDefault="00303C47" w:rsidP="00C024DD">
      <w:pPr>
        <w:pStyle w:val="BATitle"/>
        <w:spacing w:line="240" w:lineRule="auto"/>
        <w:rPr>
          <w:szCs w:val="44"/>
        </w:rPr>
      </w:pPr>
      <w:r w:rsidRPr="00B60938">
        <w:rPr>
          <w:szCs w:val="44"/>
        </w:rPr>
        <w:t xml:space="preserve">Novel Bisphosphonates with Antiresorptive </w:t>
      </w:r>
      <w:r w:rsidR="00F1334F" w:rsidRPr="00B60938">
        <w:rPr>
          <w:szCs w:val="44"/>
        </w:rPr>
        <w:t>E</w:t>
      </w:r>
      <w:r w:rsidRPr="00B60938">
        <w:rPr>
          <w:szCs w:val="44"/>
        </w:rPr>
        <w:t>ffect in Bone Mineralization and Osteoclastogenesis</w:t>
      </w:r>
    </w:p>
    <w:p w14:paraId="3907EAAD" w14:textId="1D8A9666" w:rsidR="00BA7C5D" w:rsidRPr="00B60938" w:rsidRDefault="006E5763" w:rsidP="00BA7C5D">
      <w:pPr>
        <w:pStyle w:val="BATitle"/>
        <w:spacing w:line="360" w:lineRule="auto"/>
        <w:jc w:val="both"/>
        <w:outlineLvl w:val="0"/>
        <w:rPr>
          <w:sz w:val="28"/>
          <w:szCs w:val="28"/>
          <w:lang w:val="it-IT"/>
        </w:rPr>
      </w:pPr>
      <w:r w:rsidRPr="00B60938">
        <w:rPr>
          <w:sz w:val="28"/>
          <w:szCs w:val="28"/>
          <w:lang w:val="it-IT"/>
        </w:rPr>
        <w:t xml:space="preserve">Salvatore </w:t>
      </w:r>
      <w:r w:rsidR="00BA7C5D" w:rsidRPr="00B60938">
        <w:rPr>
          <w:sz w:val="28"/>
          <w:szCs w:val="28"/>
          <w:lang w:val="it-IT"/>
        </w:rPr>
        <w:t>Savino,</w:t>
      </w:r>
      <w:r w:rsidR="00BA7C5D" w:rsidRPr="00B60938">
        <w:rPr>
          <w:sz w:val="28"/>
          <w:szCs w:val="28"/>
          <w:vertAlign w:val="superscript"/>
          <w:lang w:val="it-IT"/>
        </w:rPr>
        <w:t>a</w:t>
      </w:r>
      <w:r w:rsidR="00BA7C5D" w:rsidRPr="00B60938">
        <w:rPr>
          <w:sz w:val="28"/>
          <w:szCs w:val="28"/>
          <w:lang w:val="it-IT"/>
        </w:rPr>
        <w:t xml:space="preserve"> Annamaria Toscano,</w:t>
      </w:r>
      <w:r w:rsidR="00BA7C5D" w:rsidRPr="00B60938">
        <w:rPr>
          <w:sz w:val="28"/>
          <w:szCs w:val="28"/>
          <w:vertAlign w:val="superscript"/>
          <w:lang w:val="it-IT"/>
        </w:rPr>
        <w:t>a</w:t>
      </w:r>
      <w:r w:rsidR="00BA7C5D" w:rsidRPr="00B60938">
        <w:rPr>
          <w:sz w:val="28"/>
          <w:szCs w:val="28"/>
          <w:lang w:val="it-IT"/>
        </w:rPr>
        <w:t xml:space="preserve"> Rosa Purgatorio,</w:t>
      </w:r>
      <w:r w:rsidR="00BA7C5D" w:rsidRPr="00B60938">
        <w:rPr>
          <w:sz w:val="28"/>
          <w:szCs w:val="28"/>
          <w:vertAlign w:val="superscript"/>
          <w:lang w:val="it-IT"/>
        </w:rPr>
        <w:t>a</w:t>
      </w:r>
      <w:r w:rsidR="00BA7C5D" w:rsidRPr="00B60938">
        <w:rPr>
          <w:sz w:val="28"/>
          <w:szCs w:val="28"/>
          <w:lang w:val="it-IT"/>
        </w:rPr>
        <w:t xml:space="preserve"> Emanuela Profilo,</w:t>
      </w:r>
      <w:r w:rsidR="00BA7C5D" w:rsidRPr="00B60938">
        <w:rPr>
          <w:sz w:val="28"/>
          <w:szCs w:val="28"/>
          <w:vertAlign w:val="superscript"/>
          <w:lang w:val="it-IT"/>
        </w:rPr>
        <w:t>a</w:t>
      </w:r>
      <w:r w:rsidR="00BA7C5D" w:rsidRPr="00B60938">
        <w:rPr>
          <w:sz w:val="28"/>
          <w:szCs w:val="28"/>
          <w:lang w:val="it-IT"/>
        </w:rPr>
        <w:t xml:space="preserve"> Antonio Laghezza,</w:t>
      </w:r>
      <w:r w:rsidR="00BA7C5D" w:rsidRPr="00B60938">
        <w:rPr>
          <w:sz w:val="28"/>
          <w:szCs w:val="28"/>
          <w:vertAlign w:val="superscript"/>
          <w:lang w:val="it-IT"/>
        </w:rPr>
        <w:t>a</w:t>
      </w:r>
      <w:r w:rsidR="00BA7C5D" w:rsidRPr="00B60938">
        <w:rPr>
          <w:sz w:val="28"/>
          <w:szCs w:val="28"/>
          <w:lang w:val="it-IT"/>
        </w:rPr>
        <w:t xml:space="preserve"> Paolo Tortorella,</w:t>
      </w:r>
      <w:r w:rsidR="00BA7C5D" w:rsidRPr="00B60938">
        <w:rPr>
          <w:sz w:val="28"/>
          <w:szCs w:val="28"/>
          <w:vertAlign w:val="superscript"/>
          <w:lang w:val="it-IT"/>
        </w:rPr>
        <w:t>a</w:t>
      </w:r>
      <w:r w:rsidR="00BA7C5D" w:rsidRPr="00B60938">
        <w:rPr>
          <w:sz w:val="28"/>
          <w:szCs w:val="28"/>
          <w:lang w:val="it-IT"/>
        </w:rPr>
        <w:t xml:space="preserve"> Mariacristina Angelelli,</w:t>
      </w:r>
      <w:r w:rsidR="00BA7C5D" w:rsidRPr="00B60938">
        <w:rPr>
          <w:sz w:val="28"/>
          <w:szCs w:val="28"/>
          <w:vertAlign w:val="superscript"/>
          <w:lang w:val="it-IT"/>
        </w:rPr>
        <w:t>a</w:t>
      </w:r>
      <w:r w:rsidR="00BA7C5D" w:rsidRPr="00B60938">
        <w:rPr>
          <w:sz w:val="28"/>
          <w:szCs w:val="28"/>
          <w:lang w:val="it-IT"/>
        </w:rPr>
        <w:t xml:space="preserve"> Rosa Scala,</w:t>
      </w:r>
      <w:r w:rsidR="00BA7C5D" w:rsidRPr="00B60938">
        <w:rPr>
          <w:sz w:val="28"/>
          <w:szCs w:val="28"/>
          <w:vertAlign w:val="superscript"/>
          <w:lang w:val="it-IT"/>
        </w:rPr>
        <w:t xml:space="preserve">a </w:t>
      </w:r>
      <w:r w:rsidR="00BA7C5D" w:rsidRPr="00B60938">
        <w:rPr>
          <w:sz w:val="28"/>
          <w:szCs w:val="28"/>
          <w:lang w:val="it-IT"/>
        </w:rPr>
        <w:t>Domenico Tricarico,</w:t>
      </w:r>
      <w:r w:rsidR="00BA7C5D" w:rsidRPr="00B60938">
        <w:rPr>
          <w:sz w:val="28"/>
          <w:szCs w:val="28"/>
          <w:vertAlign w:val="superscript"/>
          <w:lang w:val="it-IT"/>
        </w:rPr>
        <w:t>a</w:t>
      </w:r>
      <w:r w:rsidR="00BA7C5D" w:rsidRPr="00B60938">
        <w:rPr>
          <w:sz w:val="28"/>
          <w:szCs w:val="28"/>
          <w:lang w:val="it-IT"/>
        </w:rPr>
        <w:t xml:space="preserve"> Carlo Marya Thomas Marobbio,</w:t>
      </w:r>
      <w:r w:rsidR="00BA7C5D" w:rsidRPr="00B60938">
        <w:rPr>
          <w:sz w:val="28"/>
          <w:szCs w:val="28"/>
          <w:vertAlign w:val="superscript"/>
          <w:lang w:val="it-IT"/>
        </w:rPr>
        <w:t>b</w:t>
      </w:r>
      <w:r w:rsidR="00BA7C5D" w:rsidRPr="00B60938">
        <w:rPr>
          <w:sz w:val="28"/>
          <w:szCs w:val="28"/>
          <w:lang w:val="it-IT"/>
        </w:rPr>
        <w:t xml:space="preserve"> Filippo Perna,</w:t>
      </w:r>
      <w:r w:rsidR="00BA7C5D" w:rsidRPr="00B60938">
        <w:rPr>
          <w:sz w:val="28"/>
          <w:szCs w:val="28"/>
          <w:vertAlign w:val="superscript"/>
          <w:lang w:val="it-IT"/>
        </w:rPr>
        <w:t>a</w:t>
      </w:r>
      <w:r w:rsidR="00BA7C5D" w:rsidRPr="00B60938">
        <w:rPr>
          <w:sz w:val="28"/>
          <w:szCs w:val="28"/>
          <w:lang w:val="it-IT"/>
        </w:rPr>
        <w:t xml:space="preserve"> Paola Vitale,</w:t>
      </w:r>
      <w:r w:rsidR="00BA7C5D" w:rsidRPr="00B60938">
        <w:rPr>
          <w:sz w:val="28"/>
          <w:szCs w:val="28"/>
          <w:vertAlign w:val="superscript"/>
          <w:lang w:val="it-IT"/>
        </w:rPr>
        <w:t>a</w:t>
      </w:r>
      <w:r w:rsidR="00BA7C5D" w:rsidRPr="00B60938">
        <w:rPr>
          <w:sz w:val="28"/>
          <w:szCs w:val="28"/>
          <w:lang w:val="it-IT"/>
        </w:rPr>
        <w:t xml:space="preserve"> Mariangela Agamennone,</w:t>
      </w:r>
      <w:r w:rsidR="00BA7C5D" w:rsidRPr="00B60938">
        <w:rPr>
          <w:sz w:val="28"/>
          <w:szCs w:val="28"/>
          <w:vertAlign w:val="superscript"/>
          <w:lang w:val="it-IT"/>
        </w:rPr>
        <w:t>c</w:t>
      </w:r>
      <w:r w:rsidR="00BA7C5D" w:rsidRPr="00B60938">
        <w:rPr>
          <w:sz w:val="28"/>
          <w:szCs w:val="28"/>
          <w:lang w:val="it-IT"/>
        </w:rPr>
        <w:t xml:space="preserve"> Vincenzo Dimiccoli,</w:t>
      </w:r>
      <w:r w:rsidR="00BA7C5D" w:rsidRPr="00B60938">
        <w:rPr>
          <w:sz w:val="28"/>
          <w:szCs w:val="28"/>
          <w:vertAlign w:val="superscript"/>
          <w:lang w:val="it-IT"/>
        </w:rPr>
        <w:t>d</w:t>
      </w:r>
      <w:r w:rsidR="00BA7C5D" w:rsidRPr="00B60938">
        <w:rPr>
          <w:sz w:val="28"/>
          <w:szCs w:val="28"/>
          <w:lang w:val="it-IT"/>
        </w:rPr>
        <w:t xml:space="preserve"> Anna Tolomeo,</w:t>
      </w:r>
      <w:r w:rsidR="00BA7C5D" w:rsidRPr="00B60938">
        <w:rPr>
          <w:sz w:val="28"/>
          <w:szCs w:val="28"/>
          <w:vertAlign w:val="superscript"/>
          <w:lang w:val="it-IT"/>
        </w:rPr>
        <w:t>d</w:t>
      </w:r>
      <w:r w:rsidR="00BA7C5D" w:rsidRPr="00B60938">
        <w:rPr>
          <w:sz w:val="28"/>
          <w:szCs w:val="28"/>
          <w:lang w:val="it-IT"/>
        </w:rPr>
        <w:t xml:space="preserve"> Antonio Scilimati</w:t>
      </w:r>
      <w:r w:rsidR="00BA7C5D" w:rsidRPr="00B60938">
        <w:rPr>
          <w:sz w:val="28"/>
          <w:szCs w:val="28"/>
          <w:vertAlign w:val="superscript"/>
          <w:lang w:val="it-IT"/>
        </w:rPr>
        <w:t>a,</w:t>
      </w:r>
      <w:r w:rsidR="00BA7C5D" w:rsidRPr="00B60938">
        <w:rPr>
          <w:sz w:val="28"/>
          <w:szCs w:val="28"/>
          <w:lang w:val="it-IT"/>
        </w:rPr>
        <w:t>*</w:t>
      </w:r>
    </w:p>
    <w:p w14:paraId="3AE4C647" w14:textId="6BA37773" w:rsidR="00FD07C8" w:rsidRPr="00192DB5" w:rsidRDefault="00D13E03">
      <w:pPr>
        <w:pStyle w:val="BCAuthorAddress"/>
        <w:jc w:val="both"/>
        <w:rPr>
          <w:sz w:val="20"/>
          <w:lang w:val="it-IT"/>
        </w:rPr>
      </w:pPr>
      <w:r w:rsidRPr="00192DB5">
        <w:rPr>
          <w:sz w:val="20"/>
          <w:vertAlign w:val="superscript"/>
          <w:lang w:val="it-IT"/>
        </w:rPr>
        <w:t>a</w:t>
      </w:r>
      <w:r w:rsidR="00303C47" w:rsidRPr="00192DB5">
        <w:rPr>
          <w:sz w:val="20"/>
          <w:lang w:val="it-IT"/>
        </w:rPr>
        <w:t>Department of Pharmacy – Pharmaceutical Sciences</w:t>
      </w:r>
      <w:r w:rsidRPr="00192DB5">
        <w:rPr>
          <w:sz w:val="20"/>
          <w:lang w:val="it-IT"/>
        </w:rPr>
        <w:t xml:space="preserve">; </w:t>
      </w:r>
      <w:r w:rsidRPr="00192DB5">
        <w:rPr>
          <w:sz w:val="20"/>
          <w:shd w:val="clear" w:color="auto" w:fill="FFFFFF"/>
          <w:vertAlign w:val="superscript"/>
          <w:lang w:val="it-IT"/>
        </w:rPr>
        <w:t>b</w:t>
      </w:r>
      <w:r w:rsidR="004C7EBC" w:rsidRPr="00192DB5">
        <w:rPr>
          <w:sz w:val="20"/>
          <w:shd w:val="clear" w:color="auto" w:fill="FFFFFF"/>
          <w:lang w:val="it-IT"/>
        </w:rPr>
        <w:t>Department of Biosciences, Biotechnologies and Biopharmaceutics, University of</w:t>
      </w:r>
      <w:r w:rsidR="007E19C8" w:rsidRPr="00192DB5">
        <w:rPr>
          <w:rStyle w:val="apple-converted-space"/>
          <w:sz w:val="20"/>
          <w:shd w:val="clear" w:color="auto" w:fill="FFFFFF"/>
          <w:lang w:val="it-IT"/>
        </w:rPr>
        <w:t xml:space="preserve"> </w:t>
      </w:r>
      <w:r w:rsidR="004C7EBC" w:rsidRPr="00192DB5">
        <w:rPr>
          <w:rStyle w:val="highlight"/>
          <w:sz w:val="20"/>
          <w:shd w:val="clear" w:color="auto" w:fill="FFFFFF"/>
          <w:lang w:val="it-IT"/>
        </w:rPr>
        <w:t>Bari</w:t>
      </w:r>
      <w:r w:rsidR="002E4E84" w:rsidRPr="00192DB5">
        <w:rPr>
          <w:rStyle w:val="highlight"/>
          <w:sz w:val="20"/>
          <w:shd w:val="clear" w:color="auto" w:fill="FFFFFF"/>
          <w:lang w:val="it-IT"/>
        </w:rPr>
        <w:t xml:space="preserve"> </w:t>
      </w:r>
      <w:r w:rsidR="002E4E84" w:rsidRPr="00192DB5">
        <w:rPr>
          <w:sz w:val="20"/>
          <w:lang w:val="it-IT"/>
        </w:rPr>
        <w:t>“A. Moro”, via E. Orabona 4,</w:t>
      </w:r>
      <w:r w:rsidR="004C7EBC" w:rsidRPr="00192DB5">
        <w:rPr>
          <w:sz w:val="20"/>
          <w:shd w:val="clear" w:color="auto" w:fill="FFFFFF"/>
          <w:lang w:val="it-IT"/>
        </w:rPr>
        <w:t xml:space="preserve"> 70125,</w:t>
      </w:r>
      <w:r w:rsidR="004C7EBC" w:rsidRPr="00192DB5">
        <w:rPr>
          <w:rStyle w:val="apple-converted-space"/>
          <w:sz w:val="20"/>
          <w:shd w:val="clear" w:color="auto" w:fill="FFFFFF"/>
          <w:lang w:val="it-IT"/>
        </w:rPr>
        <w:t> </w:t>
      </w:r>
      <w:r w:rsidR="004C7EBC" w:rsidRPr="00192DB5">
        <w:rPr>
          <w:rStyle w:val="highlight"/>
          <w:sz w:val="20"/>
          <w:shd w:val="clear" w:color="auto" w:fill="FFFFFF"/>
          <w:lang w:val="it-IT"/>
        </w:rPr>
        <w:t>Bari</w:t>
      </w:r>
      <w:r w:rsidR="004C7EBC" w:rsidRPr="00192DB5">
        <w:rPr>
          <w:sz w:val="20"/>
          <w:shd w:val="clear" w:color="auto" w:fill="FFFFFF"/>
          <w:lang w:val="it-IT"/>
        </w:rPr>
        <w:t>, Italy</w:t>
      </w:r>
      <w:r w:rsidR="004C4AA6" w:rsidRPr="00192DB5">
        <w:rPr>
          <w:sz w:val="20"/>
          <w:lang w:val="it-IT"/>
        </w:rPr>
        <w:t xml:space="preserve">; </w:t>
      </w:r>
      <w:r w:rsidR="004C4AA6" w:rsidRPr="00192DB5">
        <w:rPr>
          <w:sz w:val="20"/>
          <w:vertAlign w:val="superscript"/>
          <w:lang w:val="it-IT"/>
        </w:rPr>
        <w:t>c</w:t>
      </w:r>
      <w:r w:rsidR="004C4AA6" w:rsidRPr="00192DB5">
        <w:rPr>
          <w:sz w:val="20"/>
          <w:lang w:val="it-IT"/>
        </w:rPr>
        <w:t>D</w:t>
      </w:r>
      <w:r w:rsidR="00CA4839" w:rsidRPr="00192DB5">
        <w:rPr>
          <w:sz w:val="20"/>
          <w:lang w:val="it-IT"/>
        </w:rPr>
        <w:t>epartment of Pharmacy,</w:t>
      </w:r>
      <w:r w:rsidR="004C4AA6" w:rsidRPr="00192DB5">
        <w:rPr>
          <w:sz w:val="20"/>
          <w:lang w:val="it-IT"/>
        </w:rPr>
        <w:t xml:space="preserve"> Universit</w:t>
      </w:r>
      <w:r w:rsidR="00B40069" w:rsidRPr="00192DB5">
        <w:rPr>
          <w:sz w:val="20"/>
          <w:lang w:val="it-IT"/>
        </w:rPr>
        <w:t>y of</w:t>
      </w:r>
      <w:r w:rsidR="004C4AA6" w:rsidRPr="00192DB5">
        <w:rPr>
          <w:sz w:val="20"/>
          <w:lang w:val="it-IT"/>
        </w:rPr>
        <w:t xml:space="preserve"> Chieti “Gabriele </w:t>
      </w:r>
      <w:r w:rsidR="00DF62F5" w:rsidRPr="00192DB5">
        <w:rPr>
          <w:sz w:val="20"/>
          <w:lang w:val="it-IT"/>
        </w:rPr>
        <w:t>d</w:t>
      </w:r>
      <w:r w:rsidR="004C4AA6" w:rsidRPr="00192DB5">
        <w:rPr>
          <w:sz w:val="20"/>
          <w:lang w:val="it-IT"/>
        </w:rPr>
        <w:t xml:space="preserve">’Annunzio”, Via dei Vestini, 31, 66100, Chieti (Italy); </w:t>
      </w:r>
      <w:r w:rsidR="00C1061B" w:rsidRPr="00192DB5">
        <w:rPr>
          <w:sz w:val="20"/>
          <w:vertAlign w:val="superscript"/>
          <w:lang w:val="it-IT"/>
        </w:rPr>
        <w:t>d</w:t>
      </w:r>
      <w:r w:rsidR="00C1061B" w:rsidRPr="00192DB5">
        <w:rPr>
          <w:sz w:val="20"/>
          <w:lang w:val="it-IT"/>
        </w:rPr>
        <w:t>ITEL Telecomunicazioni S.r.l., Via A. Labriola, 70037 Ruvo di Puglia, Bari, Italy</w:t>
      </w:r>
      <w:r w:rsidR="00FD07C8" w:rsidRPr="00192DB5">
        <w:rPr>
          <w:sz w:val="20"/>
          <w:lang w:val="it-IT"/>
        </w:rPr>
        <w:t>.</w:t>
      </w:r>
    </w:p>
    <w:p w14:paraId="4A2358E4" w14:textId="77777777" w:rsidR="00FD07C8" w:rsidRPr="00B60938" w:rsidRDefault="00FD07C8" w:rsidP="00C024DD">
      <w:pPr>
        <w:pStyle w:val="BIEmailAddress"/>
        <w:rPr>
          <w:lang w:val="it-IT"/>
        </w:rPr>
      </w:pPr>
    </w:p>
    <w:p w14:paraId="48ECFE39" w14:textId="77777777" w:rsidR="00303C47" w:rsidRPr="00B60938" w:rsidRDefault="00303C47" w:rsidP="00C024DD">
      <w:pPr>
        <w:pStyle w:val="BBAuthorName"/>
        <w:jc w:val="both"/>
        <w:rPr>
          <w:lang w:val="it-IT"/>
        </w:rPr>
      </w:pPr>
    </w:p>
    <w:p w14:paraId="46E1A2E7" w14:textId="606D7BF4" w:rsidR="00303C47" w:rsidRPr="00B60938" w:rsidRDefault="00303C47" w:rsidP="009E4114">
      <w:pPr>
        <w:pStyle w:val="BGKeywords"/>
      </w:pPr>
      <w:r w:rsidRPr="00B60938">
        <w:t xml:space="preserve">Keywords: Bisphosphonates, cancer, </w:t>
      </w:r>
      <w:r w:rsidR="008A14FF" w:rsidRPr="00B60938">
        <w:t xml:space="preserve">bone mineralization, </w:t>
      </w:r>
      <w:r w:rsidRPr="00B60938">
        <w:t xml:space="preserve">human farnesyl diphosphate synthase, human </w:t>
      </w:r>
      <w:r w:rsidR="00674FFA" w:rsidRPr="00B60938">
        <w:t>geranyl</w:t>
      </w:r>
      <w:r w:rsidRPr="00B60938">
        <w:t>geranyl diphosphate synthase, cell lines, hydroxyapatite.</w:t>
      </w:r>
    </w:p>
    <w:p w14:paraId="22529FF3" w14:textId="77777777" w:rsidR="00303C47" w:rsidRPr="00B60938" w:rsidRDefault="00303C47" w:rsidP="00C75139">
      <w:pPr>
        <w:pStyle w:val="BGKeywords"/>
      </w:pPr>
    </w:p>
    <w:p w14:paraId="56CEFBA7" w14:textId="77777777" w:rsidR="00303C47" w:rsidRPr="00B60938" w:rsidRDefault="00303C47" w:rsidP="00AD47FF">
      <w:pPr>
        <w:pStyle w:val="BGKeywords"/>
      </w:pPr>
      <w:r w:rsidRPr="00B60938">
        <w:t>*Corresponding author.</w:t>
      </w:r>
    </w:p>
    <w:p w14:paraId="53EF0028" w14:textId="674AF312" w:rsidR="00303C47" w:rsidRPr="00B60938" w:rsidRDefault="00303C47" w:rsidP="00C024DD">
      <w:pPr>
        <w:pStyle w:val="BGKeywords"/>
      </w:pPr>
      <w:r w:rsidRPr="00B60938">
        <w:t>Phone: +39 0805442753. Fax: +39 0805442724. E-mail address: antonio.scilimati@uniba.it (A. Scilimati).</w:t>
      </w:r>
    </w:p>
    <w:p w14:paraId="6482154E" w14:textId="77777777" w:rsidR="006D4183" w:rsidRDefault="006D4183" w:rsidP="00E50862">
      <w:pPr>
        <w:pStyle w:val="TAMainText"/>
        <w:rPr>
          <w:b/>
        </w:rPr>
      </w:pPr>
    </w:p>
    <w:p w14:paraId="12E5E02A" w14:textId="4F81CE5B" w:rsidR="00303C47" w:rsidRPr="00B60938" w:rsidRDefault="00303C47" w:rsidP="00CD5941">
      <w:pPr>
        <w:pStyle w:val="TAMainText"/>
      </w:pPr>
      <w:r w:rsidRPr="00B60938">
        <w:rPr>
          <w:b/>
        </w:rPr>
        <w:t>Abstract</w:t>
      </w:r>
      <w:r w:rsidRPr="00B60938">
        <w:t xml:space="preserve">: </w:t>
      </w:r>
      <w:r w:rsidR="00CD5941">
        <w:t xml:space="preserve">Bisphosphonates such as zoledronic, alendronic and risedronic acids are a class of drugs clinically used to prevent bone density loss and osteoporosis. Novel P-C-P bisphosphonates were </w:t>
      </w:r>
      <w:r w:rsidR="00CD5941">
        <w:lastRenderedPageBreak/>
        <w:t>synthesized for targeting human farnesyl pyrophosphate synthase (hFPPS) and human geranylgeranyl pyrophosphate synthase (hGGPPS), key enzymes of the mevalonate pathway, and capable of anti-proliferative action on a number of cell lines (PC3, MG63, MC3T3, RAW 264.7, J774A.1, bone marrow cells and their co-colture with PC3) involved in bone homeostasis, bone formation and death. Among sixteen compounds, [1-hydroxy-2- (pyrimidin-2-ylamino)ethane-1,1-diyl]bis(phosphonic acid) (10) was effective in reducing PC3 and RAW 264.7 cell number in crystal-violet and cell-dehydrogenase activity assays at 100 mM concentration. 10 reduced differentiated osteoclasts number similarly with zoledronic acid in osteoclastogenesis assay. At nanomolar concentrations, 10 was more effective than zoledronic acid in inducing mineralization in MC3T3 and murine bone marrow cells. Further, 10 significantly inhibited the activity of hFPPS showing an IC50 of 0.31 mM and a remarkable hydroxyapatite binding of 90%. Docking calculations were performed identifying putative interactions between some representative novel bisphosphonates and both hFPPS and hGGPPS. Then, 10 was found to behave similarly or even better than zoledronic acid as a antiresorptive agent.</w:t>
      </w:r>
    </w:p>
    <w:p w14:paraId="17D578BD" w14:textId="77777777" w:rsidR="00303C47" w:rsidRPr="00B60938" w:rsidRDefault="00303C47" w:rsidP="009E4114">
      <w:pPr>
        <w:pStyle w:val="TAMainText"/>
      </w:pPr>
    </w:p>
    <w:p w14:paraId="73859717" w14:textId="77777777" w:rsidR="00303C47" w:rsidRPr="00B60938" w:rsidRDefault="00303C47" w:rsidP="00BA1AC8">
      <w:pPr>
        <w:pStyle w:val="TAMainText"/>
      </w:pPr>
    </w:p>
    <w:p w14:paraId="6702428B" w14:textId="77777777" w:rsidR="00303C47" w:rsidRPr="00B60938" w:rsidRDefault="00303C47" w:rsidP="00C75139">
      <w:pPr>
        <w:pStyle w:val="TAMainText"/>
      </w:pPr>
    </w:p>
    <w:p w14:paraId="5CBFABA1" w14:textId="77777777" w:rsidR="00303C47" w:rsidRPr="00B60938" w:rsidRDefault="00303C47" w:rsidP="00AD47FF">
      <w:pPr>
        <w:pStyle w:val="TAMainText"/>
      </w:pPr>
    </w:p>
    <w:p w14:paraId="40283739" w14:textId="77777777" w:rsidR="00303C47" w:rsidRPr="00B60938" w:rsidRDefault="00303C47" w:rsidP="00FA303D">
      <w:pPr>
        <w:pStyle w:val="TAMainText"/>
      </w:pPr>
    </w:p>
    <w:p w14:paraId="61DB6996" w14:textId="77777777" w:rsidR="00303C47" w:rsidRPr="00B60938" w:rsidRDefault="00303C47" w:rsidP="00313F11">
      <w:pPr>
        <w:pStyle w:val="TAMainText"/>
      </w:pPr>
    </w:p>
    <w:p w14:paraId="396E7E34" w14:textId="77777777" w:rsidR="00303C47" w:rsidRPr="00B60938" w:rsidRDefault="00303C47" w:rsidP="00CB7B52">
      <w:pPr>
        <w:pStyle w:val="TAMainText"/>
      </w:pPr>
    </w:p>
    <w:p w14:paraId="5EEC5B25" w14:textId="77777777" w:rsidR="00303C47" w:rsidRPr="00B60938" w:rsidRDefault="00303C47" w:rsidP="00AA2C33">
      <w:pPr>
        <w:pStyle w:val="TAMainText"/>
        <w:outlineLvl w:val="0"/>
        <w:rPr>
          <w:b/>
        </w:rPr>
      </w:pPr>
    </w:p>
    <w:p w14:paraId="2C717482" w14:textId="77777777" w:rsidR="00303C47" w:rsidRPr="00B60938" w:rsidRDefault="00303C47">
      <w:pPr>
        <w:pStyle w:val="TAMainText"/>
        <w:outlineLvl w:val="0"/>
        <w:rPr>
          <w:b/>
        </w:rPr>
      </w:pPr>
    </w:p>
    <w:p w14:paraId="178F5F71" w14:textId="77777777" w:rsidR="00303C47" w:rsidRPr="00B60938" w:rsidRDefault="00303C47">
      <w:pPr>
        <w:pStyle w:val="TAMainText"/>
        <w:outlineLvl w:val="0"/>
        <w:rPr>
          <w:b/>
        </w:rPr>
      </w:pPr>
    </w:p>
    <w:p w14:paraId="0F9FBBAA" w14:textId="77777777" w:rsidR="00303C47" w:rsidRPr="00913BF7" w:rsidRDefault="00303C47">
      <w:pPr>
        <w:pStyle w:val="TAMainText"/>
        <w:outlineLvl w:val="0"/>
        <w:rPr>
          <w:b/>
        </w:rPr>
      </w:pPr>
      <w:r w:rsidRPr="00913BF7">
        <w:rPr>
          <w:b/>
        </w:rPr>
        <w:t>1. Introduction</w:t>
      </w:r>
    </w:p>
    <w:p w14:paraId="7DEF243F" w14:textId="234FD066" w:rsidR="00303C47" w:rsidRPr="00B60938" w:rsidRDefault="00303C47">
      <w:pPr>
        <w:shd w:val="clear" w:color="auto" w:fill="FFFFFF"/>
        <w:spacing w:before="120" w:after="120" w:line="480" w:lineRule="auto"/>
        <w:jc w:val="both"/>
      </w:pPr>
      <w:r w:rsidRPr="00B60938">
        <w:lastRenderedPageBreak/>
        <w:t>Advanced cancers usually spread from the primary tumor site to other parts of the body. Bone metastasis</w:t>
      </w:r>
      <w:r w:rsidR="008F297D">
        <w:t xml:space="preserve"> is the result of some tumors</w:t>
      </w:r>
      <w:r w:rsidR="00A449D6">
        <w:t xml:space="preserve"> [1]</w:t>
      </w:r>
      <w:r w:rsidRPr="00B60938">
        <w:t>. About three out of four cases of bone metastasis result from breast, prostate, or kidney tumors</w:t>
      </w:r>
      <w:r w:rsidR="00A449D6">
        <w:t xml:space="preserve"> [2]</w:t>
      </w:r>
      <w:r w:rsidRPr="00B60938">
        <w:t>. However, also thyroid, lung, bladder, renal and skin cancers, or multiple myeloma can spread to bone</w:t>
      </w:r>
      <w:r w:rsidR="00A449D6">
        <w:t xml:space="preserve"> [3]</w:t>
      </w:r>
      <w:r w:rsidRPr="00B60938">
        <w:t>. Almost 70% of people with advanced breast or prostate cancer have bone metastasis</w:t>
      </w:r>
      <w:r w:rsidR="00A449D6">
        <w:t xml:space="preserve"> [3]</w:t>
      </w:r>
      <w:r w:rsidRPr="00B60938">
        <w:t>. Bone metastases are a major clinical concern that can cause severe pain, bone pathological fractures, spinal cord compression, hypercalcemia, anemia, spinal instability, decreased mobility, and rapid degradation in the quality of life</w:t>
      </w:r>
      <w:r w:rsidR="00A449D6">
        <w:t xml:space="preserve"> [3]</w:t>
      </w:r>
      <w:r w:rsidRPr="00B60938">
        <w:t>. Three types of bone metastasis are known: osteolytic, characterized by destruction of normal bone, osteoblastic or sclerotic, in which there is a deposition of new bone, and mixed if a patient has both osteolytic and osteoblastic lesions</w:t>
      </w:r>
      <w:r w:rsidR="00A449D6">
        <w:t xml:space="preserve"> [1]</w:t>
      </w:r>
      <w:r w:rsidRPr="00B60938">
        <w:t>.</w:t>
      </w:r>
      <w:r w:rsidRPr="00B60938">
        <w:rPr>
          <w:rFonts w:ascii="Helvetica" w:hAnsi="Helvetica"/>
          <w:sz w:val="21"/>
          <w:szCs w:val="21"/>
        </w:rPr>
        <w:t xml:space="preserve"> </w:t>
      </w:r>
      <w:r w:rsidRPr="00B60938">
        <w:t>Bisphosphonates (BPs) are primarily known for their ability to inhibit osteoclast-mediated bone resorption</w:t>
      </w:r>
      <w:r w:rsidR="00A449D6">
        <w:t xml:space="preserve"> [4]</w:t>
      </w:r>
      <w:r w:rsidRPr="00B60938">
        <w:t>. They are an indispensable part of therapy for patients with cancers that cause o</w:t>
      </w:r>
      <w:r w:rsidR="00AA73E0" w:rsidRPr="00B60938">
        <w:t>steolysis. However, there is</w:t>
      </w:r>
      <w:r w:rsidRPr="00B60938">
        <w:t xml:space="preserve"> a growing body of evidence from preclinical research</w:t>
      </w:r>
      <w:r w:rsidR="00510018" w:rsidRPr="00913BF7">
        <w:rPr>
          <w:vertAlign w:val="superscript"/>
        </w:rPr>
        <w:t>6</w:t>
      </w:r>
      <w:r w:rsidR="00510018" w:rsidRPr="00B60938">
        <w:rPr>
          <w:vertAlign w:val="superscript"/>
        </w:rPr>
        <w:t xml:space="preserve"> </w:t>
      </w:r>
      <w:r w:rsidRPr="00B60938">
        <w:t>showing that BPs also exhibit antitumor activity</w:t>
      </w:r>
      <w:r w:rsidR="00A449D6">
        <w:t xml:space="preserve"> [5]</w:t>
      </w:r>
      <w:r w:rsidRPr="00B60938">
        <w:t>. They can affect molecular mechanisms of tumor cell adhesion, invasion, and proliferation; reinforce the effects of cytotoxic agents in a synergistic manner; and exhibit antiangiogenic and immunomodulatory effects</w:t>
      </w:r>
      <w:r w:rsidR="00A449D6">
        <w:t xml:space="preserve"> [6]</w:t>
      </w:r>
      <w:r w:rsidRPr="00B60938">
        <w:t>.</w:t>
      </w:r>
    </w:p>
    <w:p w14:paraId="3E0BC638" w14:textId="148CCE21" w:rsidR="00913BF7" w:rsidRDefault="00303C47">
      <w:pPr>
        <w:shd w:val="clear" w:color="auto" w:fill="FFFFFF"/>
        <w:spacing w:before="120" w:after="120" w:line="480" w:lineRule="auto"/>
        <w:jc w:val="both"/>
        <w:rPr>
          <w:vertAlign w:val="superscript"/>
        </w:rPr>
      </w:pPr>
      <w:r w:rsidRPr="00913BF7">
        <w:t>These preclinical findings reveal exciting ways of optimizing BP therapy in oncology to fully exploit their antitumor potential.</w:t>
      </w:r>
      <w:r w:rsidRPr="00B60938">
        <w:rPr>
          <w:rFonts w:ascii="Helvetica" w:hAnsi="Helvetica"/>
          <w:sz w:val="21"/>
          <w:szCs w:val="21"/>
        </w:rPr>
        <w:t xml:space="preserve"> </w:t>
      </w:r>
      <w:r w:rsidRPr="00B60938">
        <w:t>Currently, zoledronic acid (</w:t>
      </w:r>
      <w:r w:rsidRPr="00B60938">
        <w:rPr>
          <w:b/>
        </w:rPr>
        <w:t>6</w:t>
      </w:r>
      <w:r w:rsidR="008C5F70">
        <w:t>, Fig.</w:t>
      </w:r>
      <w:r w:rsidRPr="00B60938">
        <w:t xml:space="preserve"> 1) is the most used BP to prevent and treat skeletal-related events (SREs) in metastatic castration-resistant prostate cancer (mCRPC) patients</w:t>
      </w:r>
      <w:r w:rsidR="00A449D6">
        <w:t xml:space="preserve"> [7]</w:t>
      </w:r>
      <w:r w:rsidRPr="00B60938">
        <w:t xml:space="preserve">. BPs </w:t>
      </w:r>
      <w:r w:rsidRPr="00B60938">
        <w:rPr>
          <w:bCs/>
        </w:rPr>
        <w:t xml:space="preserve">are </w:t>
      </w:r>
      <w:r w:rsidRPr="00913BF7">
        <w:t>pyrophosphate</w:t>
      </w:r>
      <w:r w:rsidRPr="00913BF7">
        <w:rPr>
          <w:bCs/>
        </w:rPr>
        <w:t xml:space="preserve"> structural analogues, where a carbon atom replaces the central oxygen atom, making </w:t>
      </w:r>
      <w:r w:rsidRPr="00913BF7">
        <w:t xml:space="preserve">the P-C-P backbone </w:t>
      </w:r>
      <w:r w:rsidRPr="00913BF7">
        <w:rPr>
          <w:bCs/>
        </w:rPr>
        <w:t>non-hydrolysable and hence more metabolically stable</w:t>
      </w:r>
      <w:r w:rsidR="00A449D6">
        <w:rPr>
          <w:bCs/>
        </w:rPr>
        <w:t xml:space="preserve"> </w:t>
      </w:r>
      <w:r w:rsidR="00A449D6">
        <w:t>[6]</w:t>
      </w:r>
      <w:r w:rsidRPr="00913BF7">
        <w:rPr>
          <w:bCs/>
        </w:rPr>
        <w:t>.</w:t>
      </w:r>
      <w:r w:rsidR="00F05E0F" w:rsidRPr="00B60938">
        <w:rPr>
          <w:bCs/>
        </w:rPr>
        <w:t xml:space="preserve"> </w:t>
      </w:r>
      <w:r w:rsidRPr="00B60938">
        <w:rPr>
          <w:bCs/>
        </w:rPr>
        <w:t>Furthermore, the</w:t>
      </w:r>
      <w:r w:rsidRPr="00913BF7">
        <w:t xml:space="preserve"> P-C-P backbone structure allows the BPs binding to hydroxyapatite in bone tissue through the chelation of calcium ions</w:t>
      </w:r>
      <w:r w:rsidR="00A449D6">
        <w:t xml:space="preserve"> [8-11]</w:t>
      </w:r>
      <w:r w:rsidRPr="00913BF7">
        <w:t>.</w:t>
      </w:r>
      <w:r w:rsidRPr="00B60938">
        <w:rPr>
          <w:vertAlign w:val="superscript"/>
        </w:rPr>
        <w:t xml:space="preserve"> </w:t>
      </w:r>
      <w:r w:rsidRPr="00B60938">
        <w:t>Subsequently to bone adsorption phase, BPs are locally internalized by bone-resorbing osteoclasts</w:t>
      </w:r>
      <w:r w:rsidR="00A449D6">
        <w:t xml:space="preserve"> [12-14]</w:t>
      </w:r>
      <w:r w:rsidRPr="00B60938">
        <w:rPr>
          <w:vertAlign w:val="superscript"/>
        </w:rPr>
        <w:t xml:space="preserve"> </w:t>
      </w:r>
      <w:r w:rsidRPr="00B60938">
        <w:t>leading to cell apoptosis</w:t>
      </w:r>
      <w:r w:rsidR="00A449D6">
        <w:t xml:space="preserve"> [15-19]</w:t>
      </w:r>
      <w:r w:rsidRPr="00B60938">
        <w:t>.</w:t>
      </w:r>
    </w:p>
    <w:p w14:paraId="4B2E8FA2" w14:textId="77777777" w:rsidR="00346EC5" w:rsidRPr="00B60938" w:rsidRDefault="00346EC5">
      <w:pPr>
        <w:shd w:val="clear" w:color="auto" w:fill="FFFFFF"/>
        <w:spacing w:before="120" w:after="120" w:line="480" w:lineRule="auto"/>
        <w:jc w:val="both"/>
      </w:pPr>
    </w:p>
    <w:tbl>
      <w:tblPr>
        <w:tblStyle w:val="Grigliatabella"/>
        <w:tblW w:w="0" w:type="auto"/>
        <w:tblLook w:val="04A0" w:firstRow="1" w:lastRow="0" w:firstColumn="1" w:lastColumn="0" w:noHBand="0" w:noVBand="1"/>
      </w:tblPr>
      <w:tblGrid>
        <w:gridCol w:w="2961"/>
        <w:gridCol w:w="3543"/>
        <w:gridCol w:w="2856"/>
      </w:tblGrid>
      <w:tr w:rsidR="00303C47" w:rsidRPr="00B60938" w14:paraId="1DE6EE0F" w14:textId="77777777" w:rsidTr="00510018">
        <w:tc>
          <w:tcPr>
            <w:tcW w:w="2961" w:type="dxa"/>
            <w:tcBorders>
              <w:top w:val="single" w:sz="4" w:space="0" w:color="auto"/>
              <w:left w:val="nil"/>
              <w:bottom w:val="single" w:sz="4" w:space="0" w:color="auto"/>
              <w:right w:val="single" w:sz="4" w:space="0" w:color="auto"/>
            </w:tcBorders>
            <w:vAlign w:val="center"/>
          </w:tcPr>
          <w:p w14:paraId="129C465D" w14:textId="77777777" w:rsidR="00303C47" w:rsidRPr="008C5F70" w:rsidRDefault="00303C47" w:rsidP="00FA303D">
            <w:pPr>
              <w:spacing w:before="120" w:line="360" w:lineRule="auto"/>
              <w:jc w:val="both"/>
              <w:rPr>
                <w:rFonts w:ascii="Arial" w:hAnsi="Arial" w:cs="Arial"/>
                <w:b/>
              </w:rPr>
            </w:pPr>
            <w:r w:rsidRPr="008C5F70">
              <w:rPr>
                <w:rFonts w:ascii="Arial" w:hAnsi="Arial" w:cs="Arial"/>
                <w:b/>
              </w:rPr>
              <w:t>Non N-BPs</w:t>
            </w:r>
          </w:p>
        </w:tc>
        <w:tc>
          <w:tcPr>
            <w:tcW w:w="6399" w:type="dxa"/>
            <w:gridSpan w:val="2"/>
            <w:tcBorders>
              <w:top w:val="single" w:sz="4" w:space="0" w:color="auto"/>
              <w:left w:val="single" w:sz="4" w:space="0" w:color="auto"/>
              <w:bottom w:val="single" w:sz="4" w:space="0" w:color="auto"/>
              <w:right w:val="nil"/>
            </w:tcBorders>
            <w:vAlign w:val="center"/>
          </w:tcPr>
          <w:p w14:paraId="10440E58" w14:textId="77777777" w:rsidR="00303C47" w:rsidRPr="008C5F70" w:rsidRDefault="00303C47" w:rsidP="00FA303D">
            <w:pPr>
              <w:spacing w:before="120" w:line="360" w:lineRule="auto"/>
              <w:jc w:val="both"/>
              <w:rPr>
                <w:rFonts w:ascii="Arial" w:hAnsi="Arial" w:cs="Arial"/>
                <w:b/>
              </w:rPr>
            </w:pPr>
            <w:r w:rsidRPr="008C5F70">
              <w:rPr>
                <w:rFonts w:ascii="Arial" w:hAnsi="Arial" w:cs="Arial"/>
                <w:b/>
              </w:rPr>
              <w:t>N-BPs</w:t>
            </w:r>
          </w:p>
        </w:tc>
      </w:tr>
      <w:tr w:rsidR="00303C47" w:rsidRPr="00B60938" w14:paraId="2002F2AF" w14:textId="77777777" w:rsidTr="00510018">
        <w:trPr>
          <w:trHeight w:val="1918"/>
        </w:trPr>
        <w:tc>
          <w:tcPr>
            <w:tcW w:w="2961" w:type="dxa"/>
            <w:tcBorders>
              <w:top w:val="single" w:sz="4" w:space="0" w:color="auto"/>
              <w:left w:val="nil"/>
              <w:bottom w:val="nil"/>
              <w:right w:val="single" w:sz="4" w:space="0" w:color="auto"/>
            </w:tcBorders>
            <w:vAlign w:val="center"/>
          </w:tcPr>
          <w:p w14:paraId="3F476FBE" w14:textId="77777777" w:rsidR="00303C47" w:rsidRPr="00B60938" w:rsidRDefault="00303C47" w:rsidP="00FA303D">
            <w:pPr>
              <w:spacing w:before="120" w:line="480" w:lineRule="auto"/>
              <w:jc w:val="both"/>
              <w:rPr>
                <w:rFonts w:ascii="Times New Roman" w:hAnsi="Times New Roman"/>
              </w:rPr>
            </w:pPr>
            <w:r w:rsidRPr="00B60938">
              <w:rPr>
                <w:noProof/>
                <w:lang w:eastAsia="en-US"/>
              </w:rPr>
              <w:lastRenderedPageBreak/>
              <w:drawing>
                <wp:inline distT="0" distB="0" distL="0" distR="0" wp14:anchorId="3ED71DAE" wp14:editId="5D9A6CFB">
                  <wp:extent cx="1155700" cy="774700"/>
                  <wp:effectExtent l="0" t="0" r="12700" b="1270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155700" cy="774700"/>
                          </a:xfrm>
                          <a:prstGeom prst="rect">
                            <a:avLst/>
                          </a:prstGeom>
                        </pic:spPr>
                      </pic:pic>
                    </a:graphicData>
                  </a:graphic>
                </wp:inline>
              </w:drawing>
            </w:r>
          </w:p>
        </w:tc>
        <w:tc>
          <w:tcPr>
            <w:tcW w:w="3543" w:type="dxa"/>
            <w:tcBorders>
              <w:top w:val="single" w:sz="4" w:space="0" w:color="auto"/>
              <w:left w:val="single" w:sz="4" w:space="0" w:color="auto"/>
              <w:bottom w:val="nil"/>
              <w:right w:val="nil"/>
            </w:tcBorders>
            <w:vAlign w:val="center"/>
          </w:tcPr>
          <w:p w14:paraId="3296B201" w14:textId="77777777" w:rsidR="00303C47" w:rsidRPr="00B60938" w:rsidRDefault="00303C47" w:rsidP="00FA303D">
            <w:pPr>
              <w:spacing w:before="120" w:line="480" w:lineRule="auto"/>
              <w:jc w:val="both"/>
              <w:rPr>
                <w:rFonts w:ascii="Times New Roman" w:hAnsi="Times New Roman"/>
              </w:rPr>
            </w:pPr>
            <w:r w:rsidRPr="00B60938">
              <w:rPr>
                <w:noProof/>
                <w:lang w:eastAsia="en-US"/>
              </w:rPr>
              <w:drawing>
                <wp:inline distT="0" distB="0" distL="0" distR="0" wp14:anchorId="0853D20C" wp14:editId="12ADC950">
                  <wp:extent cx="1625600" cy="7874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25600" cy="787400"/>
                          </a:xfrm>
                          <a:prstGeom prst="rect">
                            <a:avLst/>
                          </a:prstGeom>
                        </pic:spPr>
                      </pic:pic>
                    </a:graphicData>
                  </a:graphic>
                </wp:inline>
              </w:drawing>
            </w:r>
          </w:p>
        </w:tc>
        <w:tc>
          <w:tcPr>
            <w:tcW w:w="2856" w:type="dxa"/>
            <w:tcBorders>
              <w:top w:val="single" w:sz="4" w:space="0" w:color="auto"/>
              <w:left w:val="nil"/>
              <w:bottom w:val="nil"/>
              <w:right w:val="nil"/>
            </w:tcBorders>
            <w:vAlign w:val="center"/>
          </w:tcPr>
          <w:p w14:paraId="5A378C01" w14:textId="77777777" w:rsidR="00303C47" w:rsidRPr="00B60938" w:rsidRDefault="00303C47" w:rsidP="00FA303D">
            <w:pPr>
              <w:spacing w:before="120" w:line="480" w:lineRule="auto"/>
              <w:jc w:val="both"/>
              <w:rPr>
                <w:rFonts w:ascii="Times New Roman" w:hAnsi="Times New Roman"/>
              </w:rPr>
            </w:pPr>
            <w:r w:rsidRPr="00B60938">
              <w:rPr>
                <w:noProof/>
                <w:lang w:eastAsia="en-US"/>
              </w:rPr>
              <w:drawing>
                <wp:inline distT="0" distB="0" distL="0" distR="0" wp14:anchorId="3010C952" wp14:editId="0F081EAA">
                  <wp:extent cx="1663700" cy="927100"/>
                  <wp:effectExtent l="0" t="0" r="12700" b="1270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663700" cy="927100"/>
                          </a:xfrm>
                          <a:prstGeom prst="rect">
                            <a:avLst/>
                          </a:prstGeom>
                        </pic:spPr>
                      </pic:pic>
                    </a:graphicData>
                  </a:graphic>
                </wp:inline>
              </w:drawing>
            </w:r>
          </w:p>
        </w:tc>
      </w:tr>
      <w:tr w:rsidR="00303C47" w:rsidRPr="00B60938" w14:paraId="2E3F63DA" w14:textId="77777777" w:rsidTr="00510018">
        <w:tc>
          <w:tcPr>
            <w:tcW w:w="2961" w:type="dxa"/>
            <w:tcBorders>
              <w:top w:val="nil"/>
              <w:left w:val="nil"/>
              <w:bottom w:val="nil"/>
              <w:right w:val="single" w:sz="4" w:space="0" w:color="auto"/>
            </w:tcBorders>
            <w:vAlign w:val="center"/>
          </w:tcPr>
          <w:p w14:paraId="2C24E1C4" w14:textId="77777777" w:rsidR="00303C47" w:rsidRPr="00B60938" w:rsidRDefault="00303C47" w:rsidP="00FA303D">
            <w:pPr>
              <w:pStyle w:val="p1"/>
              <w:spacing w:after="120"/>
              <w:jc w:val="both"/>
              <w:rPr>
                <w:rFonts w:ascii="Times" w:hAnsi="Times"/>
                <w:sz w:val="24"/>
                <w:szCs w:val="24"/>
              </w:rPr>
            </w:pPr>
            <w:r w:rsidRPr="00B60938">
              <w:rPr>
                <w:rFonts w:ascii="Times" w:hAnsi="Times"/>
                <w:b/>
                <w:bCs/>
                <w:sz w:val="24"/>
                <w:szCs w:val="24"/>
              </w:rPr>
              <w:t>1</w:t>
            </w:r>
            <w:r w:rsidRPr="00B60938">
              <w:rPr>
                <w:rFonts w:ascii="Times" w:hAnsi="Times"/>
                <w:sz w:val="24"/>
                <w:szCs w:val="24"/>
              </w:rPr>
              <w:t xml:space="preserve"> (Etidronic acid, ETI)</w:t>
            </w:r>
          </w:p>
        </w:tc>
        <w:tc>
          <w:tcPr>
            <w:tcW w:w="3543" w:type="dxa"/>
            <w:tcBorders>
              <w:top w:val="nil"/>
              <w:left w:val="single" w:sz="4" w:space="0" w:color="auto"/>
              <w:bottom w:val="nil"/>
              <w:right w:val="nil"/>
            </w:tcBorders>
            <w:vAlign w:val="center"/>
          </w:tcPr>
          <w:p w14:paraId="1DF5ECE7" w14:textId="77777777" w:rsidR="00303C47" w:rsidRPr="00B60938" w:rsidRDefault="00303C47" w:rsidP="00FA303D">
            <w:pPr>
              <w:pStyle w:val="p1"/>
              <w:spacing w:after="120"/>
              <w:jc w:val="both"/>
              <w:rPr>
                <w:rFonts w:ascii="Times" w:hAnsi="Times"/>
                <w:sz w:val="24"/>
                <w:szCs w:val="24"/>
              </w:rPr>
            </w:pPr>
            <w:r w:rsidRPr="00B60938">
              <w:rPr>
                <w:rFonts w:ascii="Times" w:hAnsi="Times"/>
                <w:b/>
                <w:bCs/>
                <w:sz w:val="24"/>
                <w:szCs w:val="24"/>
              </w:rPr>
              <w:t xml:space="preserve">3 </w:t>
            </w:r>
            <w:r w:rsidRPr="00B60938">
              <w:rPr>
                <w:rFonts w:ascii="Times" w:hAnsi="Times"/>
                <w:sz w:val="24"/>
                <w:szCs w:val="24"/>
              </w:rPr>
              <w:t>(Pamidronic acid, PAM)</w:t>
            </w:r>
          </w:p>
        </w:tc>
        <w:tc>
          <w:tcPr>
            <w:tcW w:w="2856" w:type="dxa"/>
            <w:tcBorders>
              <w:top w:val="nil"/>
              <w:left w:val="nil"/>
              <w:bottom w:val="nil"/>
              <w:right w:val="nil"/>
            </w:tcBorders>
            <w:vAlign w:val="center"/>
          </w:tcPr>
          <w:p w14:paraId="7E8E2571" w14:textId="77777777" w:rsidR="00303C47" w:rsidRPr="00B60938" w:rsidRDefault="00303C47" w:rsidP="00FA303D">
            <w:pPr>
              <w:pStyle w:val="p1"/>
              <w:spacing w:after="120"/>
              <w:jc w:val="both"/>
              <w:rPr>
                <w:rFonts w:ascii="Times" w:hAnsi="Times"/>
                <w:sz w:val="24"/>
                <w:szCs w:val="24"/>
              </w:rPr>
            </w:pPr>
            <w:r w:rsidRPr="00B60938">
              <w:rPr>
                <w:rFonts w:ascii="Times" w:hAnsi="Times"/>
                <w:b/>
                <w:bCs/>
                <w:sz w:val="24"/>
                <w:szCs w:val="24"/>
              </w:rPr>
              <w:t xml:space="preserve">5 </w:t>
            </w:r>
            <w:r w:rsidRPr="00B60938">
              <w:rPr>
                <w:rFonts w:ascii="Times" w:hAnsi="Times"/>
                <w:sz w:val="24"/>
                <w:szCs w:val="24"/>
              </w:rPr>
              <w:t>(Risedronic acid, RIS)</w:t>
            </w:r>
          </w:p>
        </w:tc>
      </w:tr>
      <w:tr w:rsidR="00303C47" w:rsidRPr="00B60938" w14:paraId="63E0BCAD" w14:textId="77777777" w:rsidTr="00510018">
        <w:tc>
          <w:tcPr>
            <w:tcW w:w="2961" w:type="dxa"/>
            <w:tcBorders>
              <w:top w:val="nil"/>
              <w:left w:val="nil"/>
              <w:bottom w:val="nil"/>
              <w:right w:val="single" w:sz="4" w:space="0" w:color="auto"/>
            </w:tcBorders>
            <w:vAlign w:val="center"/>
          </w:tcPr>
          <w:p w14:paraId="50E66927" w14:textId="77777777" w:rsidR="00303C47" w:rsidRPr="00B60938" w:rsidRDefault="00303C47" w:rsidP="00FA303D">
            <w:pPr>
              <w:spacing w:before="120" w:line="480" w:lineRule="auto"/>
              <w:jc w:val="both"/>
              <w:rPr>
                <w:rFonts w:ascii="Times New Roman" w:hAnsi="Times New Roman"/>
              </w:rPr>
            </w:pPr>
            <w:r w:rsidRPr="00B60938">
              <w:rPr>
                <w:noProof/>
                <w:lang w:eastAsia="en-US"/>
              </w:rPr>
              <w:drawing>
                <wp:inline distT="0" distB="0" distL="0" distR="0" wp14:anchorId="458D2B5C" wp14:editId="53C54CD3">
                  <wp:extent cx="1054100" cy="774700"/>
                  <wp:effectExtent l="0" t="0" r="12700" b="1270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054100" cy="774700"/>
                          </a:xfrm>
                          <a:prstGeom prst="rect">
                            <a:avLst/>
                          </a:prstGeom>
                        </pic:spPr>
                      </pic:pic>
                    </a:graphicData>
                  </a:graphic>
                </wp:inline>
              </w:drawing>
            </w:r>
          </w:p>
        </w:tc>
        <w:tc>
          <w:tcPr>
            <w:tcW w:w="3543" w:type="dxa"/>
            <w:tcBorders>
              <w:top w:val="nil"/>
              <w:left w:val="single" w:sz="4" w:space="0" w:color="auto"/>
              <w:bottom w:val="nil"/>
              <w:right w:val="nil"/>
            </w:tcBorders>
            <w:vAlign w:val="center"/>
          </w:tcPr>
          <w:p w14:paraId="325CD788" w14:textId="77777777" w:rsidR="00303C47" w:rsidRPr="00B60938" w:rsidRDefault="00303C47" w:rsidP="00FA303D">
            <w:pPr>
              <w:spacing w:before="120" w:line="480" w:lineRule="auto"/>
              <w:jc w:val="both"/>
              <w:rPr>
                <w:rFonts w:ascii="Times New Roman" w:hAnsi="Times New Roman"/>
              </w:rPr>
            </w:pPr>
            <w:r w:rsidRPr="00B60938">
              <w:rPr>
                <w:noProof/>
                <w:lang w:eastAsia="en-US"/>
              </w:rPr>
              <w:drawing>
                <wp:inline distT="0" distB="0" distL="0" distR="0" wp14:anchorId="532123C7" wp14:editId="39665D10">
                  <wp:extent cx="1866900" cy="774700"/>
                  <wp:effectExtent l="0" t="0" r="12700" b="1270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866900" cy="774700"/>
                          </a:xfrm>
                          <a:prstGeom prst="rect">
                            <a:avLst/>
                          </a:prstGeom>
                        </pic:spPr>
                      </pic:pic>
                    </a:graphicData>
                  </a:graphic>
                </wp:inline>
              </w:drawing>
            </w:r>
          </w:p>
        </w:tc>
        <w:tc>
          <w:tcPr>
            <w:tcW w:w="2856" w:type="dxa"/>
            <w:tcBorders>
              <w:top w:val="nil"/>
              <w:left w:val="nil"/>
              <w:bottom w:val="nil"/>
              <w:right w:val="nil"/>
            </w:tcBorders>
            <w:vAlign w:val="center"/>
          </w:tcPr>
          <w:p w14:paraId="2EC5587F" w14:textId="77777777" w:rsidR="00303C47" w:rsidRPr="00B60938" w:rsidRDefault="00303C47" w:rsidP="00FA303D">
            <w:pPr>
              <w:spacing w:before="120" w:line="480" w:lineRule="auto"/>
              <w:jc w:val="both"/>
              <w:rPr>
                <w:rFonts w:ascii="Times New Roman" w:hAnsi="Times New Roman"/>
              </w:rPr>
            </w:pPr>
            <w:r w:rsidRPr="00B60938">
              <w:rPr>
                <w:noProof/>
                <w:lang w:eastAsia="en-US"/>
              </w:rPr>
              <w:drawing>
                <wp:inline distT="0" distB="0" distL="0" distR="0" wp14:anchorId="270D0B80" wp14:editId="3A7EFB6D">
                  <wp:extent cx="1625600" cy="838200"/>
                  <wp:effectExtent l="0" t="0" r="0"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625600" cy="838200"/>
                          </a:xfrm>
                          <a:prstGeom prst="rect">
                            <a:avLst/>
                          </a:prstGeom>
                        </pic:spPr>
                      </pic:pic>
                    </a:graphicData>
                  </a:graphic>
                </wp:inline>
              </w:drawing>
            </w:r>
          </w:p>
        </w:tc>
      </w:tr>
      <w:tr w:rsidR="00303C47" w:rsidRPr="00B60938" w14:paraId="2F30E886" w14:textId="77777777" w:rsidTr="00510018">
        <w:tc>
          <w:tcPr>
            <w:tcW w:w="2961" w:type="dxa"/>
            <w:tcBorders>
              <w:top w:val="nil"/>
              <w:left w:val="nil"/>
              <w:bottom w:val="single" w:sz="4" w:space="0" w:color="auto"/>
              <w:right w:val="single" w:sz="4" w:space="0" w:color="auto"/>
            </w:tcBorders>
            <w:vAlign w:val="center"/>
          </w:tcPr>
          <w:p w14:paraId="3FB3300F" w14:textId="77777777" w:rsidR="00303C47" w:rsidRPr="00B60938" w:rsidRDefault="00303C47" w:rsidP="00FA303D">
            <w:pPr>
              <w:pStyle w:val="p1"/>
              <w:spacing w:after="120"/>
              <w:jc w:val="both"/>
              <w:rPr>
                <w:rFonts w:ascii="Times" w:hAnsi="Times"/>
                <w:sz w:val="24"/>
                <w:szCs w:val="24"/>
              </w:rPr>
            </w:pPr>
            <w:r w:rsidRPr="00B60938">
              <w:rPr>
                <w:rFonts w:ascii="Times" w:hAnsi="Times"/>
                <w:b/>
                <w:bCs/>
                <w:sz w:val="24"/>
                <w:szCs w:val="24"/>
              </w:rPr>
              <w:t>2</w:t>
            </w:r>
            <w:r w:rsidRPr="00B60938">
              <w:rPr>
                <w:rFonts w:ascii="Times" w:hAnsi="Times"/>
                <w:sz w:val="24"/>
                <w:szCs w:val="24"/>
              </w:rPr>
              <w:t xml:space="preserve"> (Clodronic acid, CLO)</w:t>
            </w:r>
          </w:p>
        </w:tc>
        <w:tc>
          <w:tcPr>
            <w:tcW w:w="3543" w:type="dxa"/>
            <w:tcBorders>
              <w:top w:val="nil"/>
              <w:left w:val="single" w:sz="4" w:space="0" w:color="auto"/>
              <w:bottom w:val="single" w:sz="4" w:space="0" w:color="auto"/>
              <w:right w:val="nil"/>
            </w:tcBorders>
            <w:vAlign w:val="center"/>
          </w:tcPr>
          <w:p w14:paraId="584788EA" w14:textId="77777777" w:rsidR="00303C47" w:rsidRPr="00B60938" w:rsidRDefault="00303C47" w:rsidP="00FA303D">
            <w:pPr>
              <w:pStyle w:val="p1"/>
              <w:spacing w:after="120"/>
              <w:jc w:val="both"/>
              <w:rPr>
                <w:rFonts w:ascii="Times" w:hAnsi="Times"/>
                <w:sz w:val="24"/>
                <w:szCs w:val="24"/>
              </w:rPr>
            </w:pPr>
            <w:r w:rsidRPr="00B60938">
              <w:rPr>
                <w:rFonts w:ascii="Times" w:hAnsi="Times"/>
                <w:b/>
                <w:bCs/>
                <w:sz w:val="24"/>
                <w:szCs w:val="24"/>
              </w:rPr>
              <w:t xml:space="preserve">4 </w:t>
            </w:r>
            <w:r w:rsidRPr="00B60938">
              <w:rPr>
                <w:rFonts w:ascii="Times" w:hAnsi="Times"/>
                <w:sz w:val="24"/>
                <w:szCs w:val="24"/>
              </w:rPr>
              <w:t>(Alendronic acid, ALE)</w:t>
            </w:r>
          </w:p>
        </w:tc>
        <w:tc>
          <w:tcPr>
            <w:tcW w:w="2856" w:type="dxa"/>
            <w:tcBorders>
              <w:top w:val="nil"/>
              <w:left w:val="nil"/>
              <w:bottom w:val="single" w:sz="4" w:space="0" w:color="auto"/>
              <w:right w:val="nil"/>
            </w:tcBorders>
            <w:vAlign w:val="center"/>
          </w:tcPr>
          <w:p w14:paraId="4B5C4E33" w14:textId="77777777" w:rsidR="00303C47" w:rsidRPr="00B60938" w:rsidRDefault="00303C47" w:rsidP="00FA303D">
            <w:pPr>
              <w:pStyle w:val="p1"/>
              <w:spacing w:after="120"/>
              <w:jc w:val="both"/>
              <w:rPr>
                <w:rFonts w:ascii="Times" w:hAnsi="Times"/>
                <w:sz w:val="24"/>
                <w:szCs w:val="24"/>
              </w:rPr>
            </w:pPr>
            <w:r w:rsidRPr="00B60938">
              <w:rPr>
                <w:rFonts w:ascii="Times" w:hAnsi="Times"/>
                <w:b/>
                <w:bCs/>
                <w:sz w:val="24"/>
                <w:szCs w:val="24"/>
              </w:rPr>
              <w:t xml:space="preserve">6 </w:t>
            </w:r>
            <w:r w:rsidRPr="00B60938">
              <w:rPr>
                <w:rFonts w:ascii="Times" w:hAnsi="Times"/>
                <w:sz w:val="24"/>
                <w:szCs w:val="24"/>
              </w:rPr>
              <w:t>(Zoledronic acid, ZOL)</w:t>
            </w:r>
          </w:p>
        </w:tc>
      </w:tr>
    </w:tbl>
    <w:p w14:paraId="02552909" w14:textId="77777777" w:rsidR="00303C47" w:rsidRPr="00B60938" w:rsidRDefault="00303C47" w:rsidP="00FA303D">
      <w:pPr>
        <w:jc w:val="both"/>
      </w:pPr>
    </w:p>
    <w:p w14:paraId="1813F545" w14:textId="521C72B2" w:rsidR="00303C47" w:rsidRPr="00192DB5" w:rsidRDefault="008C5F70" w:rsidP="00FA303D">
      <w:pPr>
        <w:pStyle w:val="VBChartTitle"/>
        <w:outlineLvl w:val="0"/>
        <w:rPr>
          <w:sz w:val="20"/>
        </w:rPr>
      </w:pPr>
      <w:r w:rsidRPr="00192DB5">
        <w:rPr>
          <w:b/>
          <w:sz w:val="20"/>
        </w:rPr>
        <w:t>Fig.</w:t>
      </w:r>
      <w:r w:rsidR="00303C47" w:rsidRPr="00192DB5">
        <w:rPr>
          <w:b/>
          <w:sz w:val="20"/>
        </w:rPr>
        <w:t xml:space="preserve"> 1</w:t>
      </w:r>
      <w:r w:rsidR="00303C47" w:rsidRPr="00192DB5">
        <w:rPr>
          <w:sz w:val="20"/>
        </w:rPr>
        <w:t>. Representative active principle ingredients of non-N-BPs and N-BPs drugs.</w:t>
      </w:r>
    </w:p>
    <w:p w14:paraId="50B517FB" w14:textId="30803ED8" w:rsidR="00303C47" w:rsidRPr="00B60938" w:rsidRDefault="00346EC5" w:rsidP="00E50862">
      <w:pPr>
        <w:pStyle w:val="TAMainText"/>
      </w:pPr>
      <w:r>
        <w:t>Currently used BPs</w:t>
      </w:r>
      <w:r w:rsidR="00DF62F5">
        <w:t>,</w:t>
      </w:r>
      <w:r>
        <w:t xml:space="preserve"> despite their extensive use in therapy an</w:t>
      </w:r>
      <w:r w:rsidR="00B03697">
        <w:t>d their recognized therapeutic</w:t>
      </w:r>
      <w:r>
        <w:t xml:space="preserve"> benefit, show side effects and severe reactions associated with accumulation in not target bone tissues </w:t>
      </w:r>
      <w:r w:rsidR="00E246F4">
        <w:t>and unselective cytotoxicity such as</w:t>
      </w:r>
      <w:r w:rsidR="00DF62F5">
        <w:t>,</w:t>
      </w:r>
      <w:r w:rsidR="00E246F4">
        <w:t xml:space="preserve"> </w:t>
      </w:r>
      <w:r w:rsidR="0080527B">
        <w:t>for instance</w:t>
      </w:r>
      <w:r w:rsidR="00DF62F5">
        <w:t>,</w:t>
      </w:r>
      <w:r w:rsidR="00E246F4">
        <w:t xml:space="preserve"> osteonecrosis</w:t>
      </w:r>
      <w:r w:rsidR="0080527B">
        <w:t xml:space="preserve"> of the jaw</w:t>
      </w:r>
      <w:r w:rsidR="00E246F4">
        <w:t>.</w:t>
      </w:r>
      <w:r w:rsidR="00CE4406">
        <w:t xml:space="preserve"> </w:t>
      </w:r>
      <w:r w:rsidR="00DF62F5" w:rsidRPr="00A90710">
        <w:t>T</w:t>
      </w:r>
      <w:r w:rsidR="00CE4406" w:rsidRPr="00A90710">
        <w:t>herefore</w:t>
      </w:r>
      <w:r w:rsidR="00DF62F5" w:rsidRPr="00A90710">
        <w:t xml:space="preserve">, novel BPs with improved profile are </w:t>
      </w:r>
      <w:r w:rsidR="00CE4406" w:rsidRPr="00A90710">
        <w:t>needed.</w:t>
      </w:r>
    </w:p>
    <w:p w14:paraId="4E65E6B4" w14:textId="43B422AA" w:rsidR="00303C47" w:rsidRPr="00B60938" w:rsidRDefault="00303C47" w:rsidP="009E4114">
      <w:pPr>
        <w:pStyle w:val="TAMainText"/>
      </w:pPr>
      <w:r w:rsidRPr="00B60938">
        <w:t>BPs are grouped into two classes, based on their biochemical targets and chemical structure</w:t>
      </w:r>
      <w:r w:rsidR="00A449D6">
        <w:t xml:space="preserve"> [20-22]</w:t>
      </w:r>
      <w:r w:rsidRPr="00B60938">
        <w:t xml:space="preserve">. To the first class belongs BPs without nitrogen (non-N-BPs, Figure 1), such as </w:t>
      </w:r>
      <w:r w:rsidRPr="00B60938">
        <w:rPr>
          <w:b/>
        </w:rPr>
        <w:t>1 (</w:t>
      </w:r>
      <w:r w:rsidRPr="00B60938">
        <w:t xml:space="preserve">etidronate) and </w:t>
      </w:r>
      <w:r w:rsidRPr="00B60938">
        <w:rPr>
          <w:b/>
        </w:rPr>
        <w:t>2 (</w:t>
      </w:r>
      <w:r w:rsidRPr="00B60938">
        <w:t xml:space="preserve">clodronate). They are incorporated into the corresponding non-hydrolysable </w:t>
      </w:r>
      <w:r w:rsidRPr="00B60938">
        <w:rPr>
          <w:rFonts w:hint="eastAsia"/>
          <w:lang w:val="it-IT"/>
        </w:rPr>
        <w:t>β</w:t>
      </w:r>
      <w:r w:rsidRPr="00B60938">
        <w:t>,</w:t>
      </w:r>
      <w:r w:rsidRPr="00B60938">
        <w:rPr>
          <w:rFonts w:hint="eastAsia"/>
          <w:lang w:val="it-IT"/>
        </w:rPr>
        <w:t>γ</w:t>
      </w:r>
      <w:r w:rsidRPr="00B60938">
        <w:t>-methylene analogs of adenosine 5’-triphosphate (ATP)</w:t>
      </w:r>
      <w:r w:rsidR="00A449D6">
        <w:t xml:space="preserve"> [16,23]</w:t>
      </w:r>
      <w:r w:rsidRPr="00B60938">
        <w:t xml:space="preserve">, causing the osteoclast apoptosis </w:t>
      </w:r>
      <w:r w:rsidRPr="00B60938">
        <w:rPr>
          <w:i/>
        </w:rPr>
        <w:t>via</w:t>
      </w:r>
      <w:r w:rsidRPr="00913BF7">
        <w:t xml:space="preserve"> intracellular formation of toxic ATP-metabolites</w:t>
      </w:r>
      <w:r w:rsidR="00A449D6">
        <w:t xml:space="preserve"> [16,24]</w:t>
      </w:r>
      <w:r w:rsidRPr="00913BF7">
        <w:t>.</w:t>
      </w:r>
      <w:r w:rsidRPr="00B60938">
        <w:t xml:space="preserve"> The second class is constituted by nitrogen-containing bisphosphonates (N-BPs, Figure 1), such as </w:t>
      </w:r>
      <w:r w:rsidRPr="00B60938">
        <w:rPr>
          <w:b/>
        </w:rPr>
        <w:t>3 (</w:t>
      </w:r>
      <w:r w:rsidRPr="00B60938">
        <w:t xml:space="preserve">pamidronic acid), </w:t>
      </w:r>
      <w:r w:rsidRPr="00B60938">
        <w:rPr>
          <w:b/>
        </w:rPr>
        <w:t>4 (</w:t>
      </w:r>
      <w:r w:rsidRPr="00B60938">
        <w:t xml:space="preserve">alendronic acid), </w:t>
      </w:r>
      <w:r w:rsidRPr="00B60938">
        <w:rPr>
          <w:b/>
        </w:rPr>
        <w:t>5 (</w:t>
      </w:r>
      <w:r w:rsidRPr="00B60938">
        <w:t xml:space="preserve">risedronic acid) and </w:t>
      </w:r>
      <w:r w:rsidRPr="00B60938">
        <w:rPr>
          <w:b/>
        </w:rPr>
        <w:t>6 (</w:t>
      </w:r>
      <w:r w:rsidRPr="00B60938">
        <w:t xml:space="preserve">zoledronic acid), that exert their action by suppressing bone resorption </w:t>
      </w:r>
      <w:r w:rsidRPr="00B60938">
        <w:rPr>
          <w:i/>
        </w:rPr>
        <w:t>via</w:t>
      </w:r>
      <w:r w:rsidRPr="00B60938">
        <w:t xml:space="preserve"> inhibition of human farnesyl pyrophosphate synthase (</w:t>
      </w:r>
      <w:r w:rsidRPr="00B60938">
        <w:rPr>
          <w:i/>
        </w:rPr>
        <w:t>h</w:t>
      </w:r>
      <w:r w:rsidRPr="00B60938">
        <w:t>FPPS), a mevalonate pathway enzyme in osteoclasts</w:t>
      </w:r>
      <w:r w:rsidR="00A449D6">
        <w:t xml:space="preserve"> [25-29]</w:t>
      </w:r>
      <w:r w:rsidRPr="00B60938">
        <w:t>.</w:t>
      </w:r>
    </w:p>
    <w:p w14:paraId="36505E29" w14:textId="765AA911" w:rsidR="00303C47" w:rsidRPr="00913BF7" w:rsidRDefault="00303C47" w:rsidP="00BA1AC8">
      <w:pPr>
        <w:pStyle w:val="TAMainText"/>
      </w:pPr>
      <w:r w:rsidRPr="00B60938">
        <w:rPr>
          <w:i/>
        </w:rPr>
        <w:t>h</w:t>
      </w:r>
      <w:r w:rsidRPr="00913BF7">
        <w:t>FPPS is active as a dimer</w:t>
      </w:r>
      <w:r w:rsidR="00A449D6">
        <w:t xml:space="preserve"> [30]</w:t>
      </w:r>
      <w:r w:rsidRPr="00913BF7">
        <w:t>,</w:t>
      </w:r>
      <w:r w:rsidRPr="00B60938">
        <w:t xml:space="preserve"> composed of 10 </w:t>
      </w:r>
      <w:r w:rsidRPr="00B60938">
        <w:rPr>
          <w:rFonts w:hint="eastAsia"/>
        </w:rPr>
        <w:t>α</w:t>
      </w:r>
      <w:r w:rsidRPr="00913BF7">
        <w:t>-helices, and has highly conserved sequences [first aspartate rich motif (FARM), and second aspartate rich motif (SARM)] involved in the substrate binding</w:t>
      </w:r>
      <w:r w:rsidR="00A449D6">
        <w:t xml:space="preserve"> [31]</w:t>
      </w:r>
      <w:r w:rsidRPr="00913BF7">
        <w:t>.</w:t>
      </w:r>
      <w:r w:rsidRPr="00B60938">
        <w:t xml:space="preserve"> This enzyme catalyzes the bio-synthesis of geranyl pyrophosphate (GPP) and farnesyl </w:t>
      </w:r>
      <w:r w:rsidRPr="00B60938">
        <w:lastRenderedPageBreak/>
        <w:t>pyrophosphate (FPP) by successive condensations of isopentenyl pyrophosphate (IPP) and dimethylallyl pyrophosphate (DMAPP)</w:t>
      </w:r>
      <w:r w:rsidR="00A449D6">
        <w:t xml:space="preserve"> [32]</w:t>
      </w:r>
      <w:r w:rsidRPr="00B60938">
        <w:t>. FPP is in turn the substrate of the human geranylgeranyl pyrophosphate synthase (</w:t>
      </w:r>
      <w:r w:rsidRPr="00913BF7">
        <w:rPr>
          <w:i/>
        </w:rPr>
        <w:t>h</w:t>
      </w:r>
      <w:r w:rsidRPr="00913BF7">
        <w:t>GGPPS), by which is converted into geranylgeranyl pyrophosphate (GGPP).</w:t>
      </w:r>
    </w:p>
    <w:p w14:paraId="44390B68" w14:textId="42F7C37A" w:rsidR="00303C47" w:rsidRPr="00B60938" w:rsidRDefault="00303C47" w:rsidP="00BA1AC8">
      <w:pPr>
        <w:pStyle w:val="TAMainText"/>
      </w:pPr>
      <w:r w:rsidRPr="00B60938">
        <w:t>The covalent attachment of the FPP or GGPP lipid tail to a highly conserved cysteine residue of a GTPase protein imparts the membrane localization of this protein, promotes specific interactions with other proteins and plays a crucial role in the control of intracellular trafficking. The isoprene moieties from FPP and GGPP are post-translationally incorporated into several proteins, including many members of the Ras family of small GTPases, which control cell growth and proliferation</w:t>
      </w:r>
      <w:r w:rsidR="00A449D6">
        <w:t xml:space="preserve"> [33]</w:t>
      </w:r>
      <w:r w:rsidRPr="00B60938">
        <w:t>,</w:t>
      </w:r>
      <w:r w:rsidR="00842C39" w:rsidRPr="00B60938">
        <w:t xml:space="preserve"> </w:t>
      </w:r>
      <w:r w:rsidRPr="00913BF7">
        <w:t>and of Rho family of small GTPases, that are important mediators of cell migration</w:t>
      </w:r>
      <w:r w:rsidR="00A449D6">
        <w:t xml:space="preserve"> [34]</w:t>
      </w:r>
      <w:r w:rsidRPr="00913BF7">
        <w:t>.</w:t>
      </w:r>
    </w:p>
    <w:p w14:paraId="5B777DAE" w14:textId="43AA27AE" w:rsidR="00303C47" w:rsidRPr="00B60938" w:rsidRDefault="00303C47" w:rsidP="00C75139">
      <w:pPr>
        <w:pStyle w:val="TAMainText"/>
      </w:pPr>
      <w:r w:rsidRPr="00B60938">
        <w:t xml:space="preserve">Therefore, N-BPs cause the disruption of small GTPases prenylation through </w:t>
      </w:r>
      <w:r w:rsidRPr="00B60938">
        <w:rPr>
          <w:i/>
        </w:rPr>
        <w:t>h</w:t>
      </w:r>
      <w:r w:rsidRPr="00B60938">
        <w:t xml:space="preserve">FPPS and/or </w:t>
      </w:r>
      <w:r w:rsidRPr="00B60938">
        <w:rPr>
          <w:i/>
        </w:rPr>
        <w:t>h</w:t>
      </w:r>
      <w:r w:rsidRPr="00B60938">
        <w:t>GGPPS inhibition</w:t>
      </w:r>
      <w:r w:rsidR="00A449D6">
        <w:t xml:space="preserve"> [35]</w:t>
      </w:r>
      <w:r w:rsidRPr="00B60938">
        <w:t>, leading to inactivity and apoptosis of the osteoclasts</w:t>
      </w:r>
      <w:r w:rsidR="00A449D6">
        <w:t xml:space="preserve"> [20-22,25]</w:t>
      </w:r>
      <w:r w:rsidRPr="00B60938">
        <w:t>.</w:t>
      </w:r>
    </w:p>
    <w:p w14:paraId="121D6171" w14:textId="36130573" w:rsidR="00303C47" w:rsidRPr="00B60938" w:rsidRDefault="00303C47" w:rsidP="00AD47FF">
      <w:pPr>
        <w:pStyle w:val="TAMainText"/>
      </w:pPr>
      <w:r w:rsidRPr="00B60938">
        <w:t xml:space="preserve">Herein, we report the design and synthesis of a novel set of BPs, their evaluation as </w:t>
      </w:r>
      <w:r w:rsidRPr="00B60938">
        <w:rPr>
          <w:i/>
        </w:rPr>
        <w:t>h</w:t>
      </w:r>
      <w:r w:rsidRPr="00B60938">
        <w:t xml:space="preserve">FPPS and </w:t>
      </w:r>
      <w:r w:rsidRPr="00B60938">
        <w:rPr>
          <w:i/>
        </w:rPr>
        <w:t>h</w:t>
      </w:r>
      <w:r w:rsidRPr="00B60938">
        <w:t>G</w:t>
      </w:r>
      <w:r w:rsidR="00A41F7D">
        <w:t>G</w:t>
      </w:r>
      <w:r w:rsidRPr="00B60938">
        <w:t xml:space="preserve">PPS inhibitors and as anti-proliferative agents of a number of cell lines (osteoblast-like murine cell line MC3T3, osteoclast-like murine cell line RAW 264.7 and J774A.1, human osteosarcoma cell line MG63, human prostate cancer cell line PC3, </w:t>
      </w:r>
      <w:r w:rsidRPr="00B60938">
        <w:rPr>
          <w:i/>
        </w:rPr>
        <w:t xml:space="preserve">ex vivo </w:t>
      </w:r>
      <w:r w:rsidRPr="00B60938">
        <w:t xml:space="preserve">murine bone marrow cells) involved in bone homeostasis and mineralization. The </w:t>
      </w:r>
      <w:r w:rsidRPr="00B60938">
        <w:rPr>
          <w:i/>
        </w:rPr>
        <w:t>h</w:t>
      </w:r>
      <w:r w:rsidRPr="00B60938">
        <w:t xml:space="preserve">FPPS and </w:t>
      </w:r>
      <w:r w:rsidRPr="00B60938">
        <w:rPr>
          <w:i/>
        </w:rPr>
        <w:t>h</w:t>
      </w:r>
      <w:r w:rsidRPr="00B60938">
        <w:t>G</w:t>
      </w:r>
      <w:r w:rsidR="00A41F7D">
        <w:t>G</w:t>
      </w:r>
      <w:r w:rsidRPr="00B60938">
        <w:t>PPS heterologous</w:t>
      </w:r>
      <w:r w:rsidRPr="00B60938" w:rsidDel="009F68DD">
        <w:t xml:space="preserve"> </w:t>
      </w:r>
      <w:r w:rsidRPr="00B60938">
        <w:t xml:space="preserve">expression and purification and their use in the BPs inhibition assay </w:t>
      </w:r>
      <w:r w:rsidRPr="00A90710">
        <w:t>are described</w:t>
      </w:r>
      <w:r w:rsidR="00725D5C" w:rsidRPr="00A90710">
        <w:t xml:space="preserve"> in detailed</w:t>
      </w:r>
      <w:r w:rsidRPr="00A90710">
        <w:t>. Hydroxyapatite</w:t>
      </w:r>
      <w:r w:rsidRPr="00B60938">
        <w:t xml:space="preserve"> affinity of the novel BPs is also reported together with their </w:t>
      </w:r>
      <w:r w:rsidR="00DE7A2B" w:rsidRPr="00B60938">
        <w:t>e</w:t>
      </w:r>
      <w:r w:rsidRPr="00B60938">
        <w:t>ffect on bone marrow cells in co-colture with PC3, as a capability test to induce bone osteoblastogenesis and mineralization.</w:t>
      </w:r>
      <w:r w:rsidR="009C54D3" w:rsidRPr="00B60938">
        <w:t xml:space="preserve"> Docking calculation</w:t>
      </w:r>
      <w:r w:rsidR="00E138A0" w:rsidRPr="00B60938">
        <w:t>s</w:t>
      </w:r>
      <w:r w:rsidR="009C54D3" w:rsidRPr="00B60938">
        <w:t xml:space="preserve"> were performed to </w:t>
      </w:r>
      <w:r w:rsidR="00DE7A2B" w:rsidRPr="00B60938">
        <w:t>rationalize</w:t>
      </w:r>
      <w:r w:rsidR="009C54D3" w:rsidRPr="00B60938">
        <w:t xml:space="preserve"> the </w:t>
      </w:r>
      <w:r w:rsidR="009C54D3" w:rsidRPr="00B60938">
        <w:rPr>
          <w:i/>
        </w:rPr>
        <w:t>h</w:t>
      </w:r>
      <w:r w:rsidR="009C54D3" w:rsidRPr="00B60938">
        <w:t xml:space="preserve">FPPS and </w:t>
      </w:r>
      <w:r w:rsidR="009C54D3" w:rsidRPr="00B60938">
        <w:rPr>
          <w:i/>
        </w:rPr>
        <w:t>h</w:t>
      </w:r>
      <w:r w:rsidR="009C54D3" w:rsidRPr="00B60938">
        <w:t>GGPPS inhibitory activity of some representative novel bisphosphonates</w:t>
      </w:r>
      <w:r w:rsidR="00E138A0" w:rsidRPr="00B60938">
        <w:t xml:space="preserve"> through the identification of</w:t>
      </w:r>
      <w:r w:rsidR="009C54D3" w:rsidRPr="00B60938">
        <w:t xml:space="preserve"> putative interactions between </w:t>
      </w:r>
      <w:r w:rsidR="00E138A0" w:rsidRPr="00B60938">
        <w:t>such BPs and the two enzymes</w:t>
      </w:r>
      <w:r w:rsidR="009C54D3" w:rsidRPr="00B60938">
        <w:t>.</w:t>
      </w:r>
    </w:p>
    <w:p w14:paraId="0C2FEEBE" w14:textId="77777777" w:rsidR="00303C47" w:rsidRPr="00B60938" w:rsidRDefault="00303C47" w:rsidP="00FA303D">
      <w:pPr>
        <w:pStyle w:val="TAMainText"/>
      </w:pPr>
    </w:p>
    <w:p w14:paraId="1D7A8F8E" w14:textId="77777777" w:rsidR="00913BF7" w:rsidRDefault="00913BF7" w:rsidP="00913BF7">
      <w:pPr>
        <w:pStyle w:val="TAMainText"/>
        <w:ind w:firstLine="0"/>
        <w:outlineLvl w:val="0"/>
        <w:rPr>
          <w:b/>
        </w:rPr>
      </w:pPr>
    </w:p>
    <w:p w14:paraId="1A00B0AD" w14:textId="43635DB7" w:rsidR="00303C47" w:rsidRDefault="00303C47" w:rsidP="00913BF7">
      <w:pPr>
        <w:pStyle w:val="TAMainText"/>
        <w:ind w:firstLine="0"/>
        <w:outlineLvl w:val="0"/>
        <w:rPr>
          <w:b/>
        </w:rPr>
      </w:pPr>
      <w:r w:rsidRPr="00913BF7">
        <w:rPr>
          <w:b/>
        </w:rPr>
        <w:t>2. Results and discussion</w:t>
      </w:r>
    </w:p>
    <w:p w14:paraId="560F213A" w14:textId="77777777" w:rsidR="00913BF7" w:rsidRPr="00913BF7" w:rsidRDefault="00913BF7" w:rsidP="00913BF7">
      <w:pPr>
        <w:pStyle w:val="TAMainText"/>
        <w:ind w:firstLine="0"/>
        <w:outlineLvl w:val="0"/>
        <w:rPr>
          <w:b/>
          <w:szCs w:val="24"/>
        </w:rPr>
      </w:pPr>
    </w:p>
    <w:p w14:paraId="2786AA66" w14:textId="77777777" w:rsidR="00303C47" w:rsidRPr="00B60938" w:rsidRDefault="00303C47" w:rsidP="00AA2C33">
      <w:pPr>
        <w:pStyle w:val="TAMainText"/>
        <w:outlineLvl w:val="0"/>
        <w:rPr>
          <w:b/>
        </w:rPr>
      </w:pPr>
      <w:r w:rsidRPr="00B60938">
        <w:rPr>
          <w:b/>
          <w:szCs w:val="24"/>
        </w:rPr>
        <w:t xml:space="preserve">2.1 </w:t>
      </w:r>
      <w:r w:rsidRPr="00B60938">
        <w:rPr>
          <w:b/>
        </w:rPr>
        <w:t>Novel BPs Design</w:t>
      </w:r>
    </w:p>
    <w:p w14:paraId="7443E4D1" w14:textId="7F8758D0" w:rsidR="00303C47" w:rsidRPr="00B60938" w:rsidRDefault="00303C47">
      <w:pPr>
        <w:pStyle w:val="TAMainText"/>
      </w:pPr>
      <w:r w:rsidRPr="00B60938">
        <w:t xml:space="preserve">Structure–activity relationship studies of N-BPs confirm that </w:t>
      </w:r>
      <w:r w:rsidRPr="00B60938">
        <w:rPr>
          <w:bCs/>
        </w:rPr>
        <w:t xml:space="preserve">the presence of two phosphonate residues </w:t>
      </w:r>
      <w:r w:rsidR="008C5F70" w:rsidRPr="008C5F70">
        <w:rPr>
          <w:bCs/>
        </w:rPr>
        <w:t>[(HO)2OP-]</w:t>
      </w:r>
      <w:r w:rsidR="008C5F70">
        <w:rPr>
          <w:bCs/>
        </w:rPr>
        <w:t xml:space="preserve"> </w:t>
      </w:r>
      <w:r w:rsidRPr="00B60938">
        <w:rPr>
          <w:bCs/>
        </w:rPr>
        <w:t xml:space="preserve">in the molecule is crucial for the binding to the </w:t>
      </w:r>
      <w:r w:rsidRPr="00B60938">
        <w:rPr>
          <w:bCs/>
          <w:i/>
        </w:rPr>
        <w:t>h</w:t>
      </w:r>
      <w:r w:rsidRPr="00B60938">
        <w:rPr>
          <w:bCs/>
        </w:rPr>
        <w:t xml:space="preserve">FPPS that occurs through the interaction with the two Asp-rich motifs (FARM and SARM) </w:t>
      </w:r>
      <w:r w:rsidRPr="00B60938">
        <w:rPr>
          <w:bCs/>
          <w:i/>
        </w:rPr>
        <w:t>via</w:t>
      </w:r>
      <w:r w:rsidRPr="00B60938">
        <w:rPr>
          <w:bCs/>
        </w:rPr>
        <w:t xml:space="preserve"> three Mg</w:t>
      </w:r>
      <w:r w:rsidRPr="00B60938">
        <w:rPr>
          <w:bCs/>
          <w:vertAlign w:val="superscript"/>
        </w:rPr>
        <w:t>2+</w:t>
      </w:r>
      <w:r w:rsidRPr="00B60938">
        <w:rPr>
          <w:bCs/>
        </w:rPr>
        <w:t xml:space="preserve"> ions coordination</w:t>
      </w:r>
      <w:r w:rsidR="00B94BEC">
        <w:rPr>
          <w:bCs/>
        </w:rPr>
        <w:t xml:space="preserve"> </w:t>
      </w:r>
      <w:r w:rsidR="00B94BEC">
        <w:t>[36]</w:t>
      </w:r>
      <w:r w:rsidRPr="00B60938">
        <w:rPr>
          <w:bCs/>
        </w:rPr>
        <w:t xml:space="preserve">. The complete removal or the replacement of a phosphate moiety with a bioisostere group (i.e., a carboxylate group) leads to a dramatic decrease of </w:t>
      </w:r>
      <w:r w:rsidRPr="00B60938">
        <w:rPr>
          <w:bCs/>
          <w:i/>
        </w:rPr>
        <w:t>h</w:t>
      </w:r>
      <w:r w:rsidRPr="00913BF7">
        <w:rPr>
          <w:bCs/>
        </w:rPr>
        <w:t>FPPS inhibition</w:t>
      </w:r>
      <w:r w:rsidR="00B94BEC">
        <w:rPr>
          <w:bCs/>
        </w:rPr>
        <w:t xml:space="preserve"> </w:t>
      </w:r>
      <w:r w:rsidR="00B94BEC">
        <w:t>[37]</w:t>
      </w:r>
      <w:r w:rsidRPr="00913BF7">
        <w:rPr>
          <w:bCs/>
        </w:rPr>
        <w:t>.</w:t>
      </w:r>
      <w:r w:rsidRPr="00B60938">
        <w:rPr>
          <w:bCs/>
        </w:rPr>
        <w:t xml:space="preserve"> In fact, the derivative of </w:t>
      </w:r>
      <w:r w:rsidRPr="00B60938">
        <w:rPr>
          <w:b/>
          <w:bCs/>
        </w:rPr>
        <w:t>5</w:t>
      </w:r>
      <w:r w:rsidRPr="00913BF7">
        <w:rPr>
          <w:bCs/>
        </w:rPr>
        <w:t xml:space="preserve"> in which the (HO)</w:t>
      </w:r>
      <w:r w:rsidRPr="00913BF7">
        <w:rPr>
          <w:bCs/>
          <w:vertAlign w:val="subscript"/>
        </w:rPr>
        <w:t>2</w:t>
      </w:r>
      <w:r w:rsidRPr="00913BF7">
        <w:rPr>
          <w:bCs/>
        </w:rPr>
        <w:t>OP-</w:t>
      </w:r>
      <w:r w:rsidRPr="00B60938">
        <w:rPr>
          <w:b/>
          <w:bCs/>
        </w:rPr>
        <w:t>C</w:t>
      </w:r>
      <w:r w:rsidRPr="00B60938">
        <w:rPr>
          <w:bCs/>
        </w:rPr>
        <w:t>-PO(OH)</w:t>
      </w:r>
      <w:r w:rsidRPr="00B60938">
        <w:rPr>
          <w:bCs/>
          <w:vertAlign w:val="subscript"/>
        </w:rPr>
        <w:t>2</w:t>
      </w:r>
      <w:r w:rsidRPr="00B60938">
        <w:rPr>
          <w:bCs/>
        </w:rPr>
        <w:t xml:space="preserve"> </w:t>
      </w:r>
      <w:r w:rsidR="00004A0E" w:rsidRPr="00B60938">
        <w:rPr>
          <w:bCs/>
        </w:rPr>
        <w:t xml:space="preserve">moiety </w:t>
      </w:r>
      <w:r w:rsidRPr="00B60938">
        <w:rPr>
          <w:bCs/>
        </w:rPr>
        <w:t>is replaced by HOOC-</w:t>
      </w:r>
      <w:r w:rsidRPr="00B60938">
        <w:rPr>
          <w:b/>
          <w:bCs/>
        </w:rPr>
        <w:t>C</w:t>
      </w:r>
      <w:r w:rsidRPr="00B60938">
        <w:rPr>
          <w:bCs/>
        </w:rPr>
        <w:t>-PO(OH)</w:t>
      </w:r>
      <w:r w:rsidRPr="00B60938">
        <w:rPr>
          <w:bCs/>
          <w:vertAlign w:val="subscript"/>
        </w:rPr>
        <w:t>2</w:t>
      </w:r>
      <w:r w:rsidRPr="00B60938">
        <w:rPr>
          <w:bCs/>
        </w:rPr>
        <w:t xml:space="preserve"> </w:t>
      </w:r>
      <w:r w:rsidRPr="00B60938">
        <w:t xml:space="preserve">was found to be 44,000-fold less active than </w:t>
      </w:r>
      <w:r w:rsidRPr="00B60938">
        <w:rPr>
          <w:b/>
        </w:rPr>
        <w:t>5</w:t>
      </w:r>
      <w:r w:rsidRPr="00B60938">
        <w:t>. This is mainly due to the enzyme–inhibitor complex inability to be in a still active isomerized state.</w:t>
      </w:r>
    </w:p>
    <w:p w14:paraId="6BAE16FE" w14:textId="282F9008" w:rsidR="00303C47" w:rsidRPr="00B60938" w:rsidRDefault="00303C47">
      <w:pPr>
        <w:pStyle w:val="TAMainText"/>
      </w:pPr>
      <w:r w:rsidRPr="00B60938">
        <w:rPr>
          <w:bCs/>
        </w:rPr>
        <w:t xml:space="preserve">The </w:t>
      </w:r>
      <w:r w:rsidR="00C60EB5" w:rsidRPr="00B60938">
        <w:rPr>
          <w:bCs/>
        </w:rPr>
        <w:t>hydroxy group</w:t>
      </w:r>
      <w:r w:rsidRPr="00B60938">
        <w:rPr>
          <w:bCs/>
        </w:rPr>
        <w:t xml:space="preserve"> linked to the central carbon atom of the </w:t>
      </w:r>
      <w:r w:rsidRPr="00B60938">
        <w:t>P-C-</w:t>
      </w:r>
      <w:r w:rsidRPr="00B60938">
        <w:rPr>
          <w:bCs/>
        </w:rPr>
        <w:t>P</w:t>
      </w:r>
      <w:r w:rsidRPr="00B60938">
        <w:rPr>
          <w:bCs/>
          <w:vertAlign w:val="subscript"/>
        </w:rPr>
        <w:t xml:space="preserve"> </w:t>
      </w:r>
      <w:r w:rsidRPr="00B60938">
        <w:rPr>
          <w:bCs/>
        </w:rPr>
        <w:t xml:space="preserve">structure contributes to </w:t>
      </w:r>
      <w:r w:rsidRPr="00B60938">
        <w:rPr>
          <w:bCs/>
          <w:i/>
        </w:rPr>
        <w:t>h</w:t>
      </w:r>
      <w:r w:rsidRPr="00B60938">
        <w:rPr>
          <w:bCs/>
        </w:rPr>
        <w:t xml:space="preserve">FPPS binding </w:t>
      </w:r>
      <w:r w:rsidRPr="00B60938">
        <w:rPr>
          <w:bCs/>
          <w:i/>
        </w:rPr>
        <w:t>via</w:t>
      </w:r>
      <w:r w:rsidRPr="00B60938">
        <w:rPr>
          <w:bCs/>
        </w:rPr>
        <w:t xml:space="preserve"> polar interaction with Asp243. </w:t>
      </w:r>
      <w:r w:rsidRPr="00B60938">
        <w:t>The absence of OH in the BPs molecule reduces the ability of the N-BP to hold the complex in the active isomerized state, leading to a decrease of the drug inhibitory activity. This result was confirmed by X-ray investigation of FPPS:</w:t>
      </w:r>
      <w:r w:rsidRPr="00B60938">
        <w:rPr>
          <w:b/>
        </w:rPr>
        <w:t>6</w:t>
      </w:r>
      <w:r w:rsidRPr="00B60938">
        <w:t>:IPP crystal, which shows that the presence of the hydroxy improves the packing with IPP by forming a stable ternary complex</w:t>
      </w:r>
      <w:r w:rsidR="00B94BEC">
        <w:t xml:space="preserve"> [37]</w:t>
      </w:r>
      <w:r w:rsidRPr="00B60938">
        <w:t xml:space="preserve">. The side chain features of a number of </w:t>
      </w:r>
      <w:r w:rsidRPr="00B60938">
        <w:rPr>
          <w:bCs/>
          <w:i/>
        </w:rPr>
        <w:t>h</w:t>
      </w:r>
      <w:r w:rsidRPr="00913BF7">
        <w:rPr>
          <w:bCs/>
        </w:rPr>
        <w:t>FPPS</w:t>
      </w:r>
      <w:r w:rsidRPr="00913BF7">
        <w:t xml:space="preserve"> inhibitors led to identify two N-BPs sub-groups</w:t>
      </w:r>
      <w:r w:rsidR="00B94BEC">
        <w:t xml:space="preserve"> [38,39]</w:t>
      </w:r>
      <w:r w:rsidRPr="00913BF7">
        <w:t>:</w:t>
      </w:r>
      <w:r w:rsidRPr="00B60938">
        <w:t xml:space="preserve"> the alkyl-amino BPs [as in pamidronic acid (</w:t>
      </w:r>
      <w:r w:rsidRPr="00913BF7">
        <w:rPr>
          <w:b/>
        </w:rPr>
        <w:t>3</w:t>
      </w:r>
      <w:r w:rsidRPr="00913BF7">
        <w:t>) and alendronic acid (</w:t>
      </w:r>
      <w:r w:rsidRPr="00913BF7">
        <w:rPr>
          <w:b/>
        </w:rPr>
        <w:t>4</w:t>
      </w:r>
      <w:r w:rsidRPr="00913BF7">
        <w:t>), Fig</w:t>
      </w:r>
      <w:r w:rsidR="008C5F70">
        <w:t>.</w:t>
      </w:r>
      <w:r w:rsidRPr="00913BF7">
        <w:t xml:space="preserve"> 1] and the heterocyclic N-BPs [as in risedronic acid (</w:t>
      </w:r>
      <w:r w:rsidRPr="00B60938">
        <w:rPr>
          <w:b/>
        </w:rPr>
        <w:t>5</w:t>
      </w:r>
      <w:r w:rsidRPr="00B60938">
        <w:t>) and zoledronic acid (</w:t>
      </w:r>
      <w:r w:rsidRPr="00B60938">
        <w:rPr>
          <w:b/>
        </w:rPr>
        <w:t>6</w:t>
      </w:r>
      <w:r w:rsidR="008C5F70">
        <w:t>), Fig.</w:t>
      </w:r>
      <w:r w:rsidRPr="00B60938">
        <w:t xml:space="preserve"> 1].</w:t>
      </w:r>
    </w:p>
    <w:p w14:paraId="10B4EBDD" w14:textId="16CB2661" w:rsidR="00303C47" w:rsidRPr="00B60938" w:rsidRDefault="00303C47">
      <w:pPr>
        <w:pStyle w:val="TAMainText"/>
      </w:pPr>
      <w:r w:rsidRPr="00B60938">
        <w:t>The position of the nitrogen with respect to the P-</w:t>
      </w:r>
      <w:r w:rsidRPr="00B60938">
        <w:rPr>
          <w:b/>
        </w:rPr>
        <w:t>C</w:t>
      </w:r>
      <w:r w:rsidRPr="00B60938">
        <w:t>-</w:t>
      </w:r>
      <w:r w:rsidRPr="00B60938">
        <w:rPr>
          <w:bCs/>
        </w:rPr>
        <w:t>P</w:t>
      </w:r>
      <w:r w:rsidRPr="00B60938">
        <w:rPr>
          <w:bCs/>
          <w:vertAlign w:val="subscript"/>
        </w:rPr>
        <w:t xml:space="preserve"> </w:t>
      </w:r>
      <w:r w:rsidRPr="00B60938">
        <w:t>backbone represents a further crucial factor to be taken into consideration in the attempt to optimize the interaction of N-BPs and the enzyme binding site</w:t>
      </w:r>
      <w:r w:rsidR="00B94BEC">
        <w:t xml:space="preserve"> [40]</w:t>
      </w:r>
      <w:r w:rsidRPr="00B60938">
        <w:t>.</w:t>
      </w:r>
    </w:p>
    <w:p w14:paraId="07C92BD2" w14:textId="66F351AC" w:rsidR="00303C47" w:rsidRPr="00B60938" w:rsidRDefault="00303C47">
      <w:pPr>
        <w:pStyle w:val="TAMainText"/>
      </w:pPr>
      <w:r w:rsidRPr="00B60938">
        <w:t xml:space="preserve">NMR studies and quantum mechanical calculations demonstrated that N-BPs bind to </w:t>
      </w:r>
      <w:r w:rsidRPr="00B60938">
        <w:rPr>
          <w:i/>
        </w:rPr>
        <w:t>h</w:t>
      </w:r>
      <w:r w:rsidRPr="00B60938">
        <w:t>FPPS in their protonated form</w:t>
      </w:r>
      <w:r w:rsidR="00B94BEC">
        <w:t xml:space="preserve"> [41]</w:t>
      </w:r>
      <w:r w:rsidRPr="00B60938">
        <w:t>. The absence of a nitrogen atom in the BP molecules leads to a reduction of the inhibitory potency and complete loss of slow-binding kinetics</w:t>
      </w:r>
      <w:r w:rsidR="00B94BEC">
        <w:t xml:space="preserve"> [28]</w:t>
      </w:r>
      <w:r w:rsidR="00CE49D8" w:rsidRPr="00B60938">
        <w:t>.</w:t>
      </w:r>
    </w:p>
    <w:p w14:paraId="4BA2C30C" w14:textId="49D2067F" w:rsidR="00303C47" w:rsidRPr="00B60938" w:rsidRDefault="00303C47">
      <w:pPr>
        <w:pStyle w:val="TAMainText"/>
        <w:rPr>
          <w:bCs/>
        </w:rPr>
      </w:pPr>
      <w:r w:rsidRPr="00913BF7">
        <w:lastRenderedPageBreak/>
        <w:t>The alkyl-amino group of BPs interacts with the hydroxyl of Thr201 or Tyr204, however, only the heterocyclic N</w:t>
      </w:r>
      <w:r w:rsidRPr="00B60938">
        <w:t xml:space="preserve">-BPs make strong bifurcated hydrogen bonds in </w:t>
      </w:r>
      <w:r w:rsidR="00DF62F5" w:rsidRPr="00CD5941">
        <w:rPr>
          <w:i/>
        </w:rPr>
        <w:t>h</w:t>
      </w:r>
      <w:r w:rsidRPr="00B60938">
        <w:t xml:space="preserve">FPPS binding site that explains the heterocyclic N-BPs higher </w:t>
      </w:r>
      <w:r w:rsidR="00DF62F5" w:rsidRPr="00CD5941">
        <w:rPr>
          <w:i/>
        </w:rPr>
        <w:t>h</w:t>
      </w:r>
      <w:r w:rsidRPr="00B60938">
        <w:t>FPPS inhibitory potency than alkyl-amino BPs</w:t>
      </w:r>
      <w:r w:rsidR="00B94BEC">
        <w:t xml:space="preserve"> [41]</w:t>
      </w:r>
      <w:r w:rsidRPr="00B60938">
        <w:rPr>
          <w:bCs/>
        </w:rPr>
        <w:t>.</w:t>
      </w:r>
    </w:p>
    <w:p w14:paraId="3E218032" w14:textId="1B5AC761" w:rsidR="00303C47" w:rsidRPr="00B60938" w:rsidRDefault="00303C47">
      <w:pPr>
        <w:pStyle w:val="TAMainText"/>
        <w:rPr>
          <w:bCs/>
        </w:rPr>
      </w:pPr>
      <w:r w:rsidRPr="00B60938">
        <w:rPr>
          <w:bCs/>
        </w:rPr>
        <w:t xml:space="preserve">With the aim of discovering novel drugs useful to treat </w:t>
      </w:r>
      <w:r w:rsidR="00341905">
        <w:rPr>
          <w:bCs/>
        </w:rPr>
        <w:t xml:space="preserve">bone related diseases including </w:t>
      </w:r>
      <w:r w:rsidRPr="00B60938">
        <w:rPr>
          <w:bCs/>
        </w:rPr>
        <w:t>metastatic SREs</w:t>
      </w:r>
      <w:r w:rsidR="00B94BEC">
        <w:rPr>
          <w:bCs/>
        </w:rPr>
        <w:t xml:space="preserve"> </w:t>
      </w:r>
      <w:r w:rsidR="00B94BEC">
        <w:t>[7]</w:t>
      </w:r>
      <w:r w:rsidRPr="00B60938">
        <w:rPr>
          <w:bCs/>
        </w:rPr>
        <w:t xml:space="preserve">, we designed a new N-BPs set bearing nitrogen-containing heterocycles, such as pyrimidine, quinazoline, benzothiazole and benzimidazole. </w:t>
      </w:r>
    </w:p>
    <w:p w14:paraId="263FDA07" w14:textId="77777777" w:rsidR="00303C47" w:rsidRPr="00B60938" w:rsidRDefault="00303C47">
      <w:pPr>
        <w:pStyle w:val="TAMainText"/>
        <w:rPr>
          <w:bCs/>
        </w:rPr>
      </w:pPr>
      <w:r w:rsidRPr="00B60938">
        <w:rPr>
          <w:bCs/>
        </w:rPr>
        <w:t xml:space="preserve">Preliminarly, </w:t>
      </w:r>
      <w:r w:rsidRPr="00B60938">
        <w:rPr>
          <w:b/>
          <w:bCs/>
        </w:rPr>
        <w:t>10</w:t>
      </w:r>
      <w:r w:rsidRPr="00B60938">
        <w:rPr>
          <w:bCs/>
        </w:rPr>
        <w:t>-</w:t>
      </w:r>
      <w:r w:rsidRPr="00B60938">
        <w:rPr>
          <w:b/>
          <w:bCs/>
        </w:rPr>
        <w:t>13</w:t>
      </w:r>
      <w:r w:rsidRPr="00B60938">
        <w:rPr>
          <w:bCs/>
        </w:rPr>
        <w:t xml:space="preserve"> (Figure 2) were designed using </w:t>
      </w:r>
      <w:r w:rsidRPr="00B60938">
        <w:rPr>
          <w:b/>
          <w:bCs/>
        </w:rPr>
        <w:t>5</w:t>
      </w:r>
      <w:r w:rsidRPr="00B60938">
        <w:rPr>
          <w:bCs/>
        </w:rPr>
        <w:t xml:space="preserve"> (risedronic acid) as a “lead compound”. Then, the pyridine ring and the methylene group present in the side chain of </w:t>
      </w:r>
      <w:r w:rsidRPr="00B60938">
        <w:rPr>
          <w:b/>
          <w:bCs/>
        </w:rPr>
        <w:t>5</w:t>
      </w:r>
      <w:r w:rsidRPr="00B60938">
        <w:rPr>
          <w:bCs/>
        </w:rPr>
        <w:t xml:space="preserve"> were replaced by the pyrimidine nucleus and a NH moiety, respectively, possibly involved in additional hydrogen bonding in the </w:t>
      </w:r>
      <w:r w:rsidRPr="00B60938">
        <w:rPr>
          <w:bCs/>
          <w:i/>
        </w:rPr>
        <w:t>h</w:t>
      </w:r>
      <w:r w:rsidRPr="00B60938">
        <w:rPr>
          <w:bCs/>
        </w:rPr>
        <w:t xml:space="preserve">FPPS active site. Modifications in length of the spacer between the heterocycle and P-C-P backbone were also evaluated by compounds </w:t>
      </w:r>
      <w:r w:rsidRPr="00B60938">
        <w:rPr>
          <w:b/>
          <w:bCs/>
        </w:rPr>
        <w:t>11</w:t>
      </w:r>
      <w:r w:rsidRPr="00B60938">
        <w:rPr>
          <w:bCs/>
        </w:rPr>
        <w:t>–</w:t>
      </w:r>
      <w:r w:rsidRPr="00B60938">
        <w:rPr>
          <w:b/>
          <w:bCs/>
        </w:rPr>
        <w:t>13</w:t>
      </w:r>
      <w:r w:rsidRPr="00B60938">
        <w:rPr>
          <w:bCs/>
        </w:rPr>
        <w:t xml:space="preserve"> (Figure 2).</w:t>
      </w:r>
    </w:p>
    <w:p w14:paraId="7A9C0C8A" w14:textId="77777777" w:rsidR="00303C47" w:rsidRPr="00B60938" w:rsidRDefault="00303C47">
      <w:pPr>
        <w:pStyle w:val="TAMainText"/>
        <w:rPr>
          <w:bCs/>
        </w:rPr>
      </w:pPr>
    </w:p>
    <w:p w14:paraId="4F9A0DB5" w14:textId="77777777" w:rsidR="00303C47" w:rsidRPr="00192DB5" w:rsidRDefault="00303C47">
      <w:pPr>
        <w:pStyle w:val="TAMainText"/>
        <w:rPr>
          <w:bCs/>
          <w:sz w:val="20"/>
        </w:rPr>
      </w:pPr>
      <w:r w:rsidRPr="00192DB5">
        <w:rPr>
          <w:b/>
          <w:bCs/>
          <w:sz w:val="20"/>
        </w:rPr>
        <w:t>Figure 2</w:t>
      </w:r>
      <w:r w:rsidRPr="00192DB5">
        <w:rPr>
          <w:bCs/>
          <w:sz w:val="20"/>
        </w:rPr>
        <w:t xml:space="preserve">: Structure of compounds </w:t>
      </w:r>
      <w:r w:rsidRPr="00192DB5">
        <w:rPr>
          <w:b/>
          <w:bCs/>
          <w:sz w:val="20"/>
        </w:rPr>
        <w:t>10</w:t>
      </w:r>
      <w:r w:rsidRPr="00192DB5">
        <w:rPr>
          <w:bCs/>
          <w:sz w:val="20"/>
        </w:rPr>
        <w:t>–</w:t>
      </w:r>
      <w:r w:rsidRPr="00192DB5">
        <w:rPr>
          <w:b/>
          <w:bCs/>
          <w:sz w:val="20"/>
        </w:rPr>
        <w:t>28</w:t>
      </w:r>
    </w:p>
    <w:p w14:paraId="640CB118" w14:textId="77777777" w:rsidR="00303C47" w:rsidRPr="00913BF7" w:rsidRDefault="00303C47">
      <w:pPr>
        <w:pStyle w:val="TAMainText"/>
        <w:jc w:val="center"/>
        <w:rPr>
          <w:bCs/>
        </w:rPr>
      </w:pPr>
      <w:r w:rsidRPr="00913BF7">
        <w:rPr>
          <w:b/>
          <w:noProof/>
        </w:rPr>
        <w:drawing>
          <wp:inline distT="0" distB="0" distL="0" distR="0" wp14:anchorId="34805AD7" wp14:editId="3B29C691">
            <wp:extent cx="1231900" cy="660400"/>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14"/>
                    <a:srcRect/>
                    <a:stretch>
                      <a:fillRect/>
                    </a:stretch>
                  </pic:blipFill>
                  <pic:spPr bwMode="auto">
                    <a:xfrm>
                      <a:off x="0" y="0"/>
                      <a:ext cx="1231900" cy="660400"/>
                    </a:xfrm>
                    <a:prstGeom prst="rect">
                      <a:avLst/>
                    </a:prstGeom>
                    <a:noFill/>
                    <a:ln w="9525">
                      <a:noFill/>
                      <a:miter lim="800000"/>
                      <a:headEnd/>
                      <a:tailEnd/>
                    </a:ln>
                  </pic:spPr>
                </pic:pic>
              </a:graphicData>
            </a:graphic>
          </wp:inline>
        </w:drawing>
      </w:r>
    </w:p>
    <w:tbl>
      <w:tblPr>
        <w:tblpPr w:leftFromText="141" w:rightFromText="141" w:vertAnchor="text" w:tblpY="1"/>
        <w:tblOverlap w:val="never"/>
        <w:tblW w:w="8866" w:type="dxa"/>
        <w:tblLook w:val="04A0" w:firstRow="1" w:lastRow="0" w:firstColumn="1" w:lastColumn="0" w:noHBand="0" w:noVBand="1"/>
      </w:tblPr>
      <w:tblGrid>
        <w:gridCol w:w="1364"/>
        <w:gridCol w:w="1516"/>
        <w:gridCol w:w="563"/>
        <w:gridCol w:w="350"/>
        <w:gridCol w:w="630"/>
        <w:gridCol w:w="1364"/>
        <w:gridCol w:w="1536"/>
        <w:gridCol w:w="563"/>
        <w:gridCol w:w="350"/>
        <w:gridCol w:w="630"/>
      </w:tblGrid>
      <w:tr w:rsidR="00303C47" w:rsidRPr="00B60938" w14:paraId="17C910FA" w14:textId="77777777" w:rsidTr="00510018">
        <w:trPr>
          <w:trHeight w:val="729"/>
        </w:trPr>
        <w:tc>
          <w:tcPr>
            <w:tcW w:w="1364" w:type="dxa"/>
            <w:tcBorders>
              <w:top w:val="single" w:sz="4" w:space="0" w:color="auto"/>
              <w:left w:val="single" w:sz="4" w:space="0" w:color="auto"/>
              <w:bottom w:val="single" w:sz="4" w:space="0" w:color="auto"/>
            </w:tcBorders>
            <w:vAlign w:val="center"/>
          </w:tcPr>
          <w:p w14:paraId="55F2C57A" w14:textId="0F075406" w:rsidR="00303C47" w:rsidRPr="00B60938" w:rsidRDefault="00303C47" w:rsidP="00313F11">
            <w:pPr>
              <w:jc w:val="center"/>
              <w:rPr>
                <w:b/>
                <w:bCs/>
              </w:rPr>
            </w:pPr>
            <w:r w:rsidRPr="00E94337">
              <w:rPr>
                <w:b/>
                <w:bCs/>
              </w:rPr>
              <w:t>Compound</w:t>
            </w:r>
          </w:p>
        </w:tc>
        <w:tc>
          <w:tcPr>
            <w:tcW w:w="1536" w:type="dxa"/>
            <w:tcBorders>
              <w:top w:val="single" w:sz="4" w:space="0" w:color="auto"/>
              <w:bottom w:val="single" w:sz="4" w:space="0" w:color="auto"/>
            </w:tcBorders>
            <w:vAlign w:val="center"/>
          </w:tcPr>
          <w:p w14:paraId="5D8EB867" w14:textId="77777777" w:rsidR="00303C47" w:rsidRPr="00B60938" w:rsidRDefault="00303C47" w:rsidP="00313F11">
            <w:pPr>
              <w:jc w:val="center"/>
              <w:rPr>
                <w:b/>
                <w:bCs/>
              </w:rPr>
            </w:pPr>
            <w:r w:rsidRPr="00B60938">
              <w:rPr>
                <w:b/>
                <w:bCs/>
              </w:rPr>
              <w:t>Ar</w:t>
            </w:r>
          </w:p>
        </w:tc>
        <w:tc>
          <w:tcPr>
            <w:tcW w:w="563" w:type="dxa"/>
            <w:tcBorders>
              <w:top w:val="single" w:sz="4" w:space="0" w:color="auto"/>
              <w:bottom w:val="single" w:sz="4" w:space="0" w:color="auto"/>
            </w:tcBorders>
            <w:vAlign w:val="center"/>
          </w:tcPr>
          <w:p w14:paraId="47453483" w14:textId="77777777" w:rsidR="00303C47" w:rsidRPr="00B60938" w:rsidRDefault="00303C47" w:rsidP="00313F11">
            <w:pPr>
              <w:jc w:val="center"/>
              <w:rPr>
                <w:b/>
                <w:bCs/>
              </w:rPr>
            </w:pPr>
            <w:r w:rsidRPr="00B60938">
              <w:rPr>
                <w:b/>
                <w:bCs/>
              </w:rPr>
              <w:t>X</w:t>
            </w:r>
          </w:p>
        </w:tc>
        <w:tc>
          <w:tcPr>
            <w:tcW w:w="350" w:type="dxa"/>
            <w:tcBorders>
              <w:top w:val="single" w:sz="4" w:space="0" w:color="auto"/>
              <w:bottom w:val="single" w:sz="4" w:space="0" w:color="auto"/>
            </w:tcBorders>
            <w:vAlign w:val="center"/>
          </w:tcPr>
          <w:p w14:paraId="44FC7169" w14:textId="77777777" w:rsidR="00303C47" w:rsidRPr="00B60938" w:rsidRDefault="00303C47" w:rsidP="00313F11">
            <w:pPr>
              <w:jc w:val="center"/>
              <w:rPr>
                <w:b/>
                <w:bCs/>
              </w:rPr>
            </w:pPr>
            <w:r w:rsidRPr="00B60938">
              <w:rPr>
                <w:b/>
                <w:bCs/>
              </w:rPr>
              <w:t>n</w:t>
            </w:r>
          </w:p>
        </w:tc>
        <w:tc>
          <w:tcPr>
            <w:tcW w:w="620" w:type="dxa"/>
            <w:tcBorders>
              <w:top w:val="single" w:sz="4" w:space="0" w:color="auto"/>
              <w:bottom w:val="single" w:sz="4" w:space="0" w:color="auto"/>
              <w:right w:val="single" w:sz="4" w:space="0" w:color="auto"/>
            </w:tcBorders>
            <w:vAlign w:val="center"/>
          </w:tcPr>
          <w:p w14:paraId="2397B199" w14:textId="77777777" w:rsidR="00303C47" w:rsidRPr="00B60938" w:rsidRDefault="00303C47" w:rsidP="00313F11">
            <w:pPr>
              <w:jc w:val="center"/>
              <w:rPr>
                <w:b/>
                <w:bCs/>
              </w:rPr>
            </w:pPr>
            <w:r w:rsidRPr="00B60938">
              <w:rPr>
                <w:b/>
                <w:bCs/>
              </w:rPr>
              <w:t>R</w:t>
            </w:r>
          </w:p>
        </w:tc>
        <w:tc>
          <w:tcPr>
            <w:tcW w:w="1364" w:type="dxa"/>
            <w:tcBorders>
              <w:top w:val="single" w:sz="4" w:space="0" w:color="auto"/>
              <w:left w:val="single" w:sz="4" w:space="0" w:color="auto"/>
              <w:bottom w:val="single" w:sz="4" w:space="0" w:color="auto"/>
            </w:tcBorders>
            <w:vAlign w:val="center"/>
          </w:tcPr>
          <w:p w14:paraId="0D84F601" w14:textId="77777777" w:rsidR="00303C47" w:rsidRPr="00B60938" w:rsidRDefault="00303C47" w:rsidP="00313F11">
            <w:pPr>
              <w:jc w:val="center"/>
              <w:rPr>
                <w:b/>
                <w:bCs/>
              </w:rPr>
            </w:pPr>
            <w:r w:rsidRPr="00B60938">
              <w:rPr>
                <w:b/>
                <w:bCs/>
              </w:rPr>
              <w:t>Compound</w:t>
            </w:r>
          </w:p>
        </w:tc>
        <w:tc>
          <w:tcPr>
            <w:tcW w:w="1536" w:type="dxa"/>
            <w:tcBorders>
              <w:top w:val="single" w:sz="4" w:space="0" w:color="auto"/>
              <w:bottom w:val="single" w:sz="4" w:space="0" w:color="auto"/>
            </w:tcBorders>
            <w:vAlign w:val="center"/>
          </w:tcPr>
          <w:p w14:paraId="40DE396A" w14:textId="77777777" w:rsidR="00303C47" w:rsidRPr="00B60938" w:rsidRDefault="00303C47" w:rsidP="00313F11">
            <w:pPr>
              <w:jc w:val="center"/>
              <w:rPr>
                <w:b/>
                <w:bCs/>
              </w:rPr>
            </w:pPr>
            <w:r w:rsidRPr="00B60938">
              <w:rPr>
                <w:b/>
                <w:bCs/>
              </w:rPr>
              <w:t>Ar</w:t>
            </w:r>
          </w:p>
        </w:tc>
        <w:tc>
          <w:tcPr>
            <w:tcW w:w="563" w:type="dxa"/>
            <w:tcBorders>
              <w:top w:val="single" w:sz="4" w:space="0" w:color="auto"/>
              <w:bottom w:val="single" w:sz="4" w:space="0" w:color="auto"/>
            </w:tcBorders>
            <w:vAlign w:val="center"/>
          </w:tcPr>
          <w:p w14:paraId="284D6210" w14:textId="77777777" w:rsidR="00303C47" w:rsidRPr="00B60938" w:rsidRDefault="00303C47" w:rsidP="00313F11">
            <w:pPr>
              <w:jc w:val="center"/>
              <w:rPr>
                <w:b/>
                <w:bCs/>
              </w:rPr>
            </w:pPr>
            <w:r w:rsidRPr="00B60938">
              <w:rPr>
                <w:b/>
                <w:bCs/>
              </w:rPr>
              <w:t>X</w:t>
            </w:r>
          </w:p>
        </w:tc>
        <w:tc>
          <w:tcPr>
            <w:tcW w:w="350" w:type="dxa"/>
            <w:tcBorders>
              <w:top w:val="single" w:sz="4" w:space="0" w:color="auto"/>
              <w:bottom w:val="single" w:sz="4" w:space="0" w:color="auto"/>
            </w:tcBorders>
            <w:vAlign w:val="center"/>
          </w:tcPr>
          <w:p w14:paraId="3BB7CF63" w14:textId="77777777" w:rsidR="00303C47" w:rsidRPr="00B60938" w:rsidRDefault="00303C47" w:rsidP="00313F11">
            <w:pPr>
              <w:jc w:val="center"/>
              <w:rPr>
                <w:b/>
                <w:bCs/>
              </w:rPr>
            </w:pPr>
            <w:r w:rsidRPr="00B60938">
              <w:rPr>
                <w:b/>
                <w:bCs/>
              </w:rPr>
              <w:t>n</w:t>
            </w:r>
          </w:p>
        </w:tc>
        <w:tc>
          <w:tcPr>
            <w:tcW w:w="620" w:type="dxa"/>
            <w:tcBorders>
              <w:top w:val="single" w:sz="4" w:space="0" w:color="auto"/>
              <w:bottom w:val="single" w:sz="4" w:space="0" w:color="auto"/>
              <w:right w:val="single" w:sz="4" w:space="0" w:color="auto"/>
            </w:tcBorders>
            <w:vAlign w:val="center"/>
          </w:tcPr>
          <w:p w14:paraId="159BDF0F" w14:textId="77777777" w:rsidR="00303C47" w:rsidRPr="00B60938" w:rsidRDefault="00303C47" w:rsidP="00313F11">
            <w:pPr>
              <w:jc w:val="center"/>
              <w:rPr>
                <w:b/>
                <w:bCs/>
              </w:rPr>
            </w:pPr>
            <w:r w:rsidRPr="00B60938">
              <w:rPr>
                <w:b/>
                <w:bCs/>
              </w:rPr>
              <w:t>R</w:t>
            </w:r>
          </w:p>
        </w:tc>
      </w:tr>
      <w:tr w:rsidR="00303C47" w:rsidRPr="00B60938" w14:paraId="76B3BE0F" w14:textId="77777777" w:rsidTr="00510018">
        <w:trPr>
          <w:trHeight w:val="454"/>
        </w:trPr>
        <w:tc>
          <w:tcPr>
            <w:tcW w:w="1364" w:type="dxa"/>
            <w:tcBorders>
              <w:top w:val="single" w:sz="4" w:space="0" w:color="auto"/>
            </w:tcBorders>
            <w:vAlign w:val="center"/>
          </w:tcPr>
          <w:p w14:paraId="179D0816" w14:textId="77777777" w:rsidR="00303C47" w:rsidRPr="00B60938" w:rsidRDefault="00303C47" w:rsidP="00313F11">
            <w:pPr>
              <w:jc w:val="center"/>
              <w:rPr>
                <w:b/>
                <w:bCs/>
              </w:rPr>
            </w:pPr>
            <w:r w:rsidRPr="00B60938">
              <w:rPr>
                <w:b/>
                <w:bCs/>
              </w:rPr>
              <w:t>10</w:t>
            </w:r>
          </w:p>
        </w:tc>
        <w:tc>
          <w:tcPr>
            <w:tcW w:w="1536" w:type="dxa"/>
            <w:vMerge w:val="restart"/>
            <w:tcBorders>
              <w:top w:val="single" w:sz="4" w:space="0" w:color="auto"/>
            </w:tcBorders>
            <w:vAlign w:val="center"/>
          </w:tcPr>
          <w:p w14:paraId="7E4BEF7B" w14:textId="77777777" w:rsidR="00303C47" w:rsidRPr="00B60938" w:rsidRDefault="00303C47" w:rsidP="00313F11">
            <w:pPr>
              <w:jc w:val="center"/>
              <w:rPr>
                <w:b/>
                <w:bCs/>
              </w:rPr>
            </w:pPr>
            <w:r w:rsidRPr="00B60938">
              <w:rPr>
                <w:noProof/>
                <w:lang w:eastAsia="en-US"/>
              </w:rPr>
              <w:drawing>
                <wp:inline distT="0" distB="0" distL="0" distR="0" wp14:anchorId="4CB3880F" wp14:editId="1E778A0F">
                  <wp:extent cx="406400" cy="626745"/>
                  <wp:effectExtent l="0" t="0" r="0" b="8255"/>
                  <wp:docPr id="1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6400" cy="626745"/>
                          </a:xfrm>
                          <a:prstGeom prst="rect">
                            <a:avLst/>
                          </a:prstGeom>
                          <a:noFill/>
                          <a:ln>
                            <a:noFill/>
                          </a:ln>
                        </pic:spPr>
                      </pic:pic>
                    </a:graphicData>
                  </a:graphic>
                </wp:inline>
              </w:drawing>
            </w:r>
          </w:p>
        </w:tc>
        <w:tc>
          <w:tcPr>
            <w:tcW w:w="563" w:type="dxa"/>
            <w:tcBorders>
              <w:top w:val="single" w:sz="4" w:space="0" w:color="auto"/>
            </w:tcBorders>
            <w:vAlign w:val="center"/>
          </w:tcPr>
          <w:p w14:paraId="422F4A6E" w14:textId="77777777" w:rsidR="00303C47" w:rsidRPr="00913BF7" w:rsidRDefault="00303C47" w:rsidP="00313F11">
            <w:pPr>
              <w:jc w:val="center"/>
              <w:rPr>
                <w:bCs/>
              </w:rPr>
            </w:pPr>
            <w:r w:rsidRPr="00913BF7">
              <w:rPr>
                <w:bCs/>
              </w:rPr>
              <w:t>NH</w:t>
            </w:r>
          </w:p>
        </w:tc>
        <w:tc>
          <w:tcPr>
            <w:tcW w:w="350" w:type="dxa"/>
            <w:tcBorders>
              <w:top w:val="single" w:sz="4" w:space="0" w:color="auto"/>
            </w:tcBorders>
            <w:vAlign w:val="center"/>
          </w:tcPr>
          <w:p w14:paraId="2B472478" w14:textId="77777777" w:rsidR="00303C47" w:rsidRPr="00913BF7" w:rsidRDefault="00303C47" w:rsidP="00313F11">
            <w:pPr>
              <w:jc w:val="center"/>
              <w:rPr>
                <w:bCs/>
              </w:rPr>
            </w:pPr>
            <w:r w:rsidRPr="00913BF7">
              <w:rPr>
                <w:bCs/>
              </w:rPr>
              <w:t>0</w:t>
            </w:r>
          </w:p>
        </w:tc>
        <w:tc>
          <w:tcPr>
            <w:tcW w:w="620" w:type="dxa"/>
            <w:tcBorders>
              <w:top w:val="single" w:sz="4" w:space="0" w:color="auto"/>
              <w:right w:val="single" w:sz="4" w:space="0" w:color="auto"/>
            </w:tcBorders>
            <w:vAlign w:val="center"/>
          </w:tcPr>
          <w:p w14:paraId="634EE682" w14:textId="77777777" w:rsidR="00303C47" w:rsidRPr="00B60938" w:rsidRDefault="00303C47" w:rsidP="00313F11">
            <w:pPr>
              <w:jc w:val="center"/>
              <w:rPr>
                <w:bCs/>
              </w:rPr>
            </w:pPr>
            <w:r w:rsidRPr="00E94337">
              <w:rPr>
                <w:bCs/>
              </w:rPr>
              <w:t>H</w:t>
            </w:r>
          </w:p>
        </w:tc>
        <w:tc>
          <w:tcPr>
            <w:tcW w:w="1364" w:type="dxa"/>
            <w:tcBorders>
              <w:top w:val="single" w:sz="4" w:space="0" w:color="auto"/>
              <w:left w:val="single" w:sz="4" w:space="0" w:color="auto"/>
            </w:tcBorders>
            <w:vAlign w:val="center"/>
          </w:tcPr>
          <w:p w14:paraId="64EDFE0A" w14:textId="77777777" w:rsidR="00303C47" w:rsidRPr="00B60938" w:rsidRDefault="00303C47" w:rsidP="00313F11">
            <w:pPr>
              <w:jc w:val="center"/>
              <w:rPr>
                <w:bCs/>
              </w:rPr>
            </w:pPr>
            <w:r w:rsidRPr="00B60938">
              <w:rPr>
                <w:b/>
                <w:bCs/>
              </w:rPr>
              <w:t>19</w:t>
            </w:r>
          </w:p>
        </w:tc>
        <w:tc>
          <w:tcPr>
            <w:tcW w:w="1536" w:type="dxa"/>
            <w:vMerge w:val="restart"/>
            <w:tcBorders>
              <w:top w:val="single" w:sz="4" w:space="0" w:color="auto"/>
            </w:tcBorders>
            <w:vAlign w:val="center"/>
          </w:tcPr>
          <w:p w14:paraId="1937A64B" w14:textId="77777777" w:rsidR="00303C47" w:rsidRPr="00B60938" w:rsidRDefault="00303C47" w:rsidP="00313F11">
            <w:pPr>
              <w:jc w:val="center"/>
              <w:rPr>
                <w:bCs/>
              </w:rPr>
            </w:pPr>
            <w:r w:rsidRPr="00B60938">
              <w:rPr>
                <w:noProof/>
                <w:lang w:eastAsia="en-US"/>
              </w:rPr>
              <w:drawing>
                <wp:inline distT="0" distB="0" distL="0" distR="0" wp14:anchorId="6AF8166C" wp14:editId="4A81172F">
                  <wp:extent cx="652145" cy="601345"/>
                  <wp:effectExtent l="0" t="0" r="8255" b="825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2145" cy="601345"/>
                          </a:xfrm>
                          <a:prstGeom prst="rect">
                            <a:avLst/>
                          </a:prstGeom>
                          <a:noFill/>
                          <a:ln>
                            <a:noFill/>
                          </a:ln>
                        </pic:spPr>
                      </pic:pic>
                    </a:graphicData>
                  </a:graphic>
                </wp:inline>
              </w:drawing>
            </w:r>
          </w:p>
        </w:tc>
        <w:tc>
          <w:tcPr>
            <w:tcW w:w="563" w:type="dxa"/>
            <w:tcBorders>
              <w:top w:val="single" w:sz="4" w:space="0" w:color="auto"/>
            </w:tcBorders>
            <w:vAlign w:val="center"/>
          </w:tcPr>
          <w:p w14:paraId="06F34ADD" w14:textId="77777777" w:rsidR="00303C47" w:rsidRPr="00913BF7" w:rsidRDefault="00303C47" w:rsidP="00313F11">
            <w:pPr>
              <w:jc w:val="center"/>
              <w:rPr>
                <w:bCs/>
              </w:rPr>
            </w:pPr>
            <w:r w:rsidRPr="00913BF7">
              <w:rPr>
                <w:bCs/>
              </w:rPr>
              <w:t>NH</w:t>
            </w:r>
          </w:p>
        </w:tc>
        <w:tc>
          <w:tcPr>
            <w:tcW w:w="350" w:type="dxa"/>
            <w:tcBorders>
              <w:top w:val="single" w:sz="4" w:space="0" w:color="auto"/>
            </w:tcBorders>
            <w:vAlign w:val="center"/>
          </w:tcPr>
          <w:p w14:paraId="3E8BBBEE" w14:textId="77777777" w:rsidR="00303C47" w:rsidRPr="00913BF7" w:rsidRDefault="00303C47" w:rsidP="00313F11">
            <w:pPr>
              <w:jc w:val="center"/>
              <w:rPr>
                <w:bCs/>
              </w:rPr>
            </w:pPr>
            <w:r w:rsidRPr="00913BF7">
              <w:rPr>
                <w:bCs/>
              </w:rPr>
              <w:t>0</w:t>
            </w:r>
          </w:p>
        </w:tc>
        <w:tc>
          <w:tcPr>
            <w:tcW w:w="620" w:type="dxa"/>
            <w:tcBorders>
              <w:top w:val="single" w:sz="4" w:space="0" w:color="auto"/>
            </w:tcBorders>
            <w:vAlign w:val="center"/>
          </w:tcPr>
          <w:p w14:paraId="11B5636B" w14:textId="77777777" w:rsidR="00303C47" w:rsidRPr="00B60938" w:rsidRDefault="00303C47" w:rsidP="00313F11">
            <w:pPr>
              <w:jc w:val="center"/>
              <w:rPr>
                <w:bCs/>
              </w:rPr>
            </w:pPr>
            <w:r w:rsidRPr="00E94337">
              <w:rPr>
                <w:bCs/>
              </w:rPr>
              <w:t>H</w:t>
            </w:r>
          </w:p>
        </w:tc>
      </w:tr>
      <w:tr w:rsidR="00303C47" w:rsidRPr="00B60938" w14:paraId="701582CC" w14:textId="77777777" w:rsidTr="00510018">
        <w:trPr>
          <w:trHeight w:val="454"/>
        </w:trPr>
        <w:tc>
          <w:tcPr>
            <w:tcW w:w="1364" w:type="dxa"/>
            <w:vAlign w:val="center"/>
          </w:tcPr>
          <w:p w14:paraId="688F3C82" w14:textId="77777777" w:rsidR="00303C47" w:rsidRPr="00B60938" w:rsidRDefault="00303C47" w:rsidP="00313F11">
            <w:pPr>
              <w:jc w:val="center"/>
              <w:rPr>
                <w:b/>
                <w:bCs/>
              </w:rPr>
            </w:pPr>
            <w:r w:rsidRPr="00B60938">
              <w:rPr>
                <w:b/>
                <w:bCs/>
              </w:rPr>
              <w:t>11</w:t>
            </w:r>
          </w:p>
        </w:tc>
        <w:tc>
          <w:tcPr>
            <w:tcW w:w="1536" w:type="dxa"/>
            <w:vMerge/>
            <w:vAlign w:val="center"/>
          </w:tcPr>
          <w:p w14:paraId="5A113931" w14:textId="77777777" w:rsidR="00303C47" w:rsidRPr="00B60938" w:rsidRDefault="00303C47" w:rsidP="00313F11">
            <w:pPr>
              <w:jc w:val="center"/>
              <w:rPr>
                <w:b/>
                <w:bCs/>
              </w:rPr>
            </w:pPr>
          </w:p>
        </w:tc>
        <w:tc>
          <w:tcPr>
            <w:tcW w:w="563" w:type="dxa"/>
            <w:vAlign w:val="center"/>
          </w:tcPr>
          <w:p w14:paraId="61CBF134" w14:textId="77777777" w:rsidR="00303C47" w:rsidRPr="00B60938" w:rsidRDefault="00303C47" w:rsidP="00313F11">
            <w:pPr>
              <w:jc w:val="center"/>
            </w:pPr>
            <w:r w:rsidRPr="00B60938">
              <w:rPr>
                <w:bCs/>
              </w:rPr>
              <w:t>NH</w:t>
            </w:r>
          </w:p>
        </w:tc>
        <w:tc>
          <w:tcPr>
            <w:tcW w:w="350" w:type="dxa"/>
            <w:vAlign w:val="center"/>
          </w:tcPr>
          <w:p w14:paraId="67F14103" w14:textId="77777777" w:rsidR="00303C47" w:rsidRPr="00B60938" w:rsidRDefault="00303C47" w:rsidP="00313F11">
            <w:pPr>
              <w:jc w:val="center"/>
              <w:rPr>
                <w:bCs/>
              </w:rPr>
            </w:pPr>
            <w:r w:rsidRPr="00B60938">
              <w:rPr>
                <w:bCs/>
              </w:rPr>
              <w:t>1</w:t>
            </w:r>
          </w:p>
        </w:tc>
        <w:tc>
          <w:tcPr>
            <w:tcW w:w="620" w:type="dxa"/>
            <w:tcBorders>
              <w:right w:val="single" w:sz="4" w:space="0" w:color="auto"/>
            </w:tcBorders>
            <w:vAlign w:val="center"/>
          </w:tcPr>
          <w:p w14:paraId="2D580A39" w14:textId="77777777" w:rsidR="00303C47" w:rsidRPr="00B60938" w:rsidRDefault="00303C47" w:rsidP="00313F11">
            <w:pPr>
              <w:jc w:val="center"/>
              <w:rPr>
                <w:bCs/>
              </w:rPr>
            </w:pPr>
            <w:r w:rsidRPr="00B60938">
              <w:rPr>
                <w:bCs/>
              </w:rPr>
              <w:t>H</w:t>
            </w:r>
          </w:p>
        </w:tc>
        <w:tc>
          <w:tcPr>
            <w:tcW w:w="1364" w:type="dxa"/>
            <w:tcBorders>
              <w:left w:val="single" w:sz="4" w:space="0" w:color="auto"/>
            </w:tcBorders>
            <w:vAlign w:val="center"/>
          </w:tcPr>
          <w:p w14:paraId="258D0965" w14:textId="77777777" w:rsidR="00303C47" w:rsidRPr="00B60938" w:rsidRDefault="00303C47" w:rsidP="00313F11">
            <w:pPr>
              <w:jc w:val="center"/>
              <w:rPr>
                <w:bCs/>
              </w:rPr>
            </w:pPr>
            <w:r w:rsidRPr="00B60938">
              <w:rPr>
                <w:b/>
                <w:bCs/>
              </w:rPr>
              <w:t>20</w:t>
            </w:r>
          </w:p>
        </w:tc>
        <w:tc>
          <w:tcPr>
            <w:tcW w:w="1536" w:type="dxa"/>
            <w:vMerge/>
            <w:vAlign w:val="center"/>
          </w:tcPr>
          <w:p w14:paraId="2EAE359E" w14:textId="77777777" w:rsidR="00303C47" w:rsidRPr="00B60938" w:rsidRDefault="00303C47" w:rsidP="00313F11">
            <w:pPr>
              <w:jc w:val="center"/>
              <w:rPr>
                <w:bCs/>
              </w:rPr>
            </w:pPr>
          </w:p>
        </w:tc>
        <w:tc>
          <w:tcPr>
            <w:tcW w:w="563" w:type="dxa"/>
            <w:vAlign w:val="center"/>
          </w:tcPr>
          <w:p w14:paraId="6C4BC4A3" w14:textId="77777777" w:rsidR="00303C47" w:rsidRPr="00B60938" w:rsidRDefault="00303C47" w:rsidP="00313F11">
            <w:pPr>
              <w:jc w:val="center"/>
              <w:rPr>
                <w:bCs/>
              </w:rPr>
            </w:pPr>
            <w:r w:rsidRPr="00B60938">
              <w:rPr>
                <w:bCs/>
              </w:rPr>
              <w:t>NH</w:t>
            </w:r>
          </w:p>
        </w:tc>
        <w:tc>
          <w:tcPr>
            <w:tcW w:w="350" w:type="dxa"/>
            <w:vAlign w:val="center"/>
          </w:tcPr>
          <w:p w14:paraId="31C3A40A" w14:textId="77777777" w:rsidR="00303C47" w:rsidRPr="00B60938" w:rsidRDefault="00303C47" w:rsidP="00313F11">
            <w:pPr>
              <w:jc w:val="center"/>
              <w:rPr>
                <w:bCs/>
              </w:rPr>
            </w:pPr>
            <w:r w:rsidRPr="00B60938">
              <w:rPr>
                <w:bCs/>
              </w:rPr>
              <w:t>1</w:t>
            </w:r>
          </w:p>
        </w:tc>
        <w:tc>
          <w:tcPr>
            <w:tcW w:w="620" w:type="dxa"/>
            <w:vAlign w:val="center"/>
          </w:tcPr>
          <w:p w14:paraId="3978F32B" w14:textId="77777777" w:rsidR="00303C47" w:rsidRPr="00B60938" w:rsidRDefault="00303C47" w:rsidP="00313F11">
            <w:pPr>
              <w:jc w:val="center"/>
              <w:rPr>
                <w:bCs/>
              </w:rPr>
            </w:pPr>
            <w:r w:rsidRPr="00B60938">
              <w:rPr>
                <w:bCs/>
              </w:rPr>
              <w:t>H</w:t>
            </w:r>
          </w:p>
        </w:tc>
      </w:tr>
      <w:tr w:rsidR="00303C47" w:rsidRPr="00B60938" w14:paraId="63CF8CA1" w14:textId="77777777" w:rsidTr="00510018">
        <w:trPr>
          <w:trHeight w:val="454"/>
        </w:trPr>
        <w:tc>
          <w:tcPr>
            <w:tcW w:w="1364" w:type="dxa"/>
            <w:vAlign w:val="center"/>
          </w:tcPr>
          <w:p w14:paraId="0447C592" w14:textId="77777777" w:rsidR="00303C47" w:rsidRPr="00B60938" w:rsidRDefault="00303C47" w:rsidP="00313F11">
            <w:pPr>
              <w:jc w:val="center"/>
              <w:rPr>
                <w:b/>
                <w:bCs/>
              </w:rPr>
            </w:pPr>
            <w:r w:rsidRPr="00B60938">
              <w:rPr>
                <w:b/>
                <w:bCs/>
              </w:rPr>
              <w:t>12</w:t>
            </w:r>
          </w:p>
        </w:tc>
        <w:tc>
          <w:tcPr>
            <w:tcW w:w="1536" w:type="dxa"/>
            <w:vMerge/>
            <w:vAlign w:val="center"/>
          </w:tcPr>
          <w:p w14:paraId="50733673" w14:textId="77777777" w:rsidR="00303C47" w:rsidRPr="00B60938" w:rsidRDefault="00303C47" w:rsidP="00313F11">
            <w:pPr>
              <w:jc w:val="center"/>
              <w:rPr>
                <w:b/>
                <w:bCs/>
              </w:rPr>
            </w:pPr>
          </w:p>
        </w:tc>
        <w:tc>
          <w:tcPr>
            <w:tcW w:w="563" w:type="dxa"/>
            <w:vAlign w:val="center"/>
          </w:tcPr>
          <w:p w14:paraId="6EFCAD65" w14:textId="77777777" w:rsidR="00303C47" w:rsidRPr="00B60938" w:rsidRDefault="00303C47" w:rsidP="00313F11">
            <w:pPr>
              <w:jc w:val="center"/>
            </w:pPr>
            <w:r w:rsidRPr="00B60938">
              <w:rPr>
                <w:bCs/>
              </w:rPr>
              <w:t>NH</w:t>
            </w:r>
          </w:p>
        </w:tc>
        <w:tc>
          <w:tcPr>
            <w:tcW w:w="350" w:type="dxa"/>
            <w:vAlign w:val="center"/>
          </w:tcPr>
          <w:p w14:paraId="6E94F0CD" w14:textId="77777777" w:rsidR="00303C47" w:rsidRPr="00B60938" w:rsidRDefault="00303C47" w:rsidP="00313F11">
            <w:pPr>
              <w:jc w:val="center"/>
              <w:rPr>
                <w:bCs/>
              </w:rPr>
            </w:pPr>
            <w:r w:rsidRPr="00B60938">
              <w:rPr>
                <w:bCs/>
              </w:rPr>
              <w:t>2</w:t>
            </w:r>
          </w:p>
        </w:tc>
        <w:tc>
          <w:tcPr>
            <w:tcW w:w="620" w:type="dxa"/>
            <w:tcBorders>
              <w:right w:val="single" w:sz="4" w:space="0" w:color="auto"/>
            </w:tcBorders>
            <w:vAlign w:val="center"/>
          </w:tcPr>
          <w:p w14:paraId="62E6E514" w14:textId="77777777" w:rsidR="00303C47" w:rsidRPr="00B60938" w:rsidRDefault="00303C47" w:rsidP="00313F11">
            <w:pPr>
              <w:jc w:val="center"/>
              <w:rPr>
                <w:bCs/>
              </w:rPr>
            </w:pPr>
            <w:r w:rsidRPr="00B60938">
              <w:rPr>
                <w:bCs/>
              </w:rPr>
              <w:t>H</w:t>
            </w:r>
          </w:p>
        </w:tc>
        <w:tc>
          <w:tcPr>
            <w:tcW w:w="1364" w:type="dxa"/>
            <w:tcBorders>
              <w:left w:val="single" w:sz="4" w:space="0" w:color="auto"/>
            </w:tcBorders>
            <w:vAlign w:val="center"/>
          </w:tcPr>
          <w:p w14:paraId="4EEF0CCD" w14:textId="77777777" w:rsidR="00303C47" w:rsidRPr="00B60938" w:rsidRDefault="00303C47" w:rsidP="00313F11">
            <w:pPr>
              <w:jc w:val="center"/>
              <w:rPr>
                <w:bCs/>
              </w:rPr>
            </w:pPr>
            <w:r w:rsidRPr="00B60938">
              <w:rPr>
                <w:b/>
                <w:bCs/>
              </w:rPr>
              <w:t>21</w:t>
            </w:r>
          </w:p>
        </w:tc>
        <w:tc>
          <w:tcPr>
            <w:tcW w:w="1536" w:type="dxa"/>
            <w:vMerge/>
            <w:vAlign w:val="center"/>
          </w:tcPr>
          <w:p w14:paraId="43CAFAD3" w14:textId="77777777" w:rsidR="00303C47" w:rsidRPr="00B60938" w:rsidRDefault="00303C47" w:rsidP="00313F11">
            <w:pPr>
              <w:jc w:val="center"/>
              <w:rPr>
                <w:bCs/>
              </w:rPr>
            </w:pPr>
          </w:p>
        </w:tc>
        <w:tc>
          <w:tcPr>
            <w:tcW w:w="563" w:type="dxa"/>
            <w:vAlign w:val="center"/>
          </w:tcPr>
          <w:p w14:paraId="5D054F23" w14:textId="77777777" w:rsidR="00303C47" w:rsidRPr="00B60938" w:rsidRDefault="00303C47" w:rsidP="00313F11">
            <w:pPr>
              <w:jc w:val="center"/>
              <w:rPr>
                <w:bCs/>
              </w:rPr>
            </w:pPr>
            <w:r w:rsidRPr="00B60938">
              <w:rPr>
                <w:bCs/>
              </w:rPr>
              <w:t>NH</w:t>
            </w:r>
          </w:p>
        </w:tc>
        <w:tc>
          <w:tcPr>
            <w:tcW w:w="350" w:type="dxa"/>
            <w:vAlign w:val="center"/>
          </w:tcPr>
          <w:p w14:paraId="2FB9CD6E" w14:textId="77777777" w:rsidR="00303C47" w:rsidRPr="00B60938" w:rsidRDefault="00303C47" w:rsidP="00313F11">
            <w:pPr>
              <w:jc w:val="center"/>
              <w:rPr>
                <w:bCs/>
              </w:rPr>
            </w:pPr>
            <w:r w:rsidRPr="00B60938">
              <w:rPr>
                <w:bCs/>
              </w:rPr>
              <w:t>2</w:t>
            </w:r>
          </w:p>
        </w:tc>
        <w:tc>
          <w:tcPr>
            <w:tcW w:w="620" w:type="dxa"/>
            <w:vAlign w:val="center"/>
          </w:tcPr>
          <w:p w14:paraId="060AB507" w14:textId="77777777" w:rsidR="00303C47" w:rsidRPr="00B60938" w:rsidRDefault="00303C47" w:rsidP="00313F11">
            <w:pPr>
              <w:jc w:val="center"/>
              <w:rPr>
                <w:bCs/>
              </w:rPr>
            </w:pPr>
            <w:r w:rsidRPr="00B60938">
              <w:rPr>
                <w:bCs/>
              </w:rPr>
              <w:t>H</w:t>
            </w:r>
          </w:p>
        </w:tc>
      </w:tr>
      <w:tr w:rsidR="00303C47" w:rsidRPr="00B60938" w14:paraId="4C07B34C" w14:textId="77777777" w:rsidTr="00510018">
        <w:trPr>
          <w:trHeight w:val="454"/>
        </w:trPr>
        <w:tc>
          <w:tcPr>
            <w:tcW w:w="1364" w:type="dxa"/>
            <w:vAlign w:val="center"/>
          </w:tcPr>
          <w:p w14:paraId="2C52FA72" w14:textId="77777777" w:rsidR="00303C47" w:rsidRPr="00B60938" w:rsidRDefault="00303C47" w:rsidP="00313F11">
            <w:pPr>
              <w:jc w:val="center"/>
              <w:rPr>
                <w:b/>
                <w:bCs/>
              </w:rPr>
            </w:pPr>
            <w:r w:rsidRPr="00B60938">
              <w:rPr>
                <w:b/>
                <w:bCs/>
              </w:rPr>
              <w:t>13</w:t>
            </w:r>
          </w:p>
        </w:tc>
        <w:tc>
          <w:tcPr>
            <w:tcW w:w="1536" w:type="dxa"/>
            <w:vMerge/>
            <w:vAlign w:val="center"/>
          </w:tcPr>
          <w:p w14:paraId="065EA7DB" w14:textId="77777777" w:rsidR="00303C47" w:rsidRPr="00B60938" w:rsidRDefault="00303C47" w:rsidP="00313F11">
            <w:pPr>
              <w:jc w:val="center"/>
              <w:rPr>
                <w:b/>
                <w:bCs/>
              </w:rPr>
            </w:pPr>
          </w:p>
        </w:tc>
        <w:tc>
          <w:tcPr>
            <w:tcW w:w="563" w:type="dxa"/>
            <w:vAlign w:val="center"/>
          </w:tcPr>
          <w:p w14:paraId="785A3820" w14:textId="77777777" w:rsidR="00303C47" w:rsidRPr="00B60938" w:rsidRDefault="00303C47" w:rsidP="00313F11">
            <w:pPr>
              <w:jc w:val="center"/>
            </w:pPr>
            <w:r w:rsidRPr="00B60938">
              <w:rPr>
                <w:bCs/>
              </w:rPr>
              <w:t>NH</w:t>
            </w:r>
          </w:p>
        </w:tc>
        <w:tc>
          <w:tcPr>
            <w:tcW w:w="350" w:type="dxa"/>
            <w:vAlign w:val="center"/>
          </w:tcPr>
          <w:p w14:paraId="38280CFA" w14:textId="77777777" w:rsidR="00303C47" w:rsidRPr="00B60938" w:rsidRDefault="00303C47" w:rsidP="00313F11">
            <w:pPr>
              <w:jc w:val="center"/>
              <w:rPr>
                <w:bCs/>
              </w:rPr>
            </w:pPr>
            <w:r w:rsidRPr="00B60938">
              <w:rPr>
                <w:bCs/>
              </w:rPr>
              <w:t>3</w:t>
            </w:r>
          </w:p>
        </w:tc>
        <w:tc>
          <w:tcPr>
            <w:tcW w:w="620" w:type="dxa"/>
            <w:tcBorders>
              <w:right w:val="single" w:sz="4" w:space="0" w:color="auto"/>
            </w:tcBorders>
            <w:vAlign w:val="center"/>
          </w:tcPr>
          <w:p w14:paraId="73869547" w14:textId="77777777" w:rsidR="00303C47" w:rsidRPr="00B60938" w:rsidRDefault="00303C47" w:rsidP="00313F11">
            <w:pPr>
              <w:jc w:val="center"/>
              <w:rPr>
                <w:bCs/>
              </w:rPr>
            </w:pPr>
            <w:r w:rsidRPr="00B60938">
              <w:rPr>
                <w:bCs/>
              </w:rPr>
              <w:t>H</w:t>
            </w:r>
          </w:p>
        </w:tc>
        <w:tc>
          <w:tcPr>
            <w:tcW w:w="1364" w:type="dxa"/>
            <w:tcBorders>
              <w:left w:val="single" w:sz="4" w:space="0" w:color="auto"/>
            </w:tcBorders>
            <w:vAlign w:val="center"/>
          </w:tcPr>
          <w:p w14:paraId="0D19C96B" w14:textId="77777777" w:rsidR="00303C47" w:rsidRPr="00B60938" w:rsidRDefault="00303C47" w:rsidP="00313F11">
            <w:pPr>
              <w:jc w:val="center"/>
              <w:rPr>
                <w:bCs/>
              </w:rPr>
            </w:pPr>
            <w:r w:rsidRPr="00B60938">
              <w:rPr>
                <w:b/>
                <w:bCs/>
              </w:rPr>
              <w:t>22</w:t>
            </w:r>
          </w:p>
        </w:tc>
        <w:tc>
          <w:tcPr>
            <w:tcW w:w="1536" w:type="dxa"/>
            <w:vMerge/>
            <w:vAlign w:val="center"/>
          </w:tcPr>
          <w:p w14:paraId="3150D4D4" w14:textId="77777777" w:rsidR="00303C47" w:rsidRPr="00B60938" w:rsidRDefault="00303C47" w:rsidP="00313F11">
            <w:pPr>
              <w:jc w:val="center"/>
              <w:rPr>
                <w:bCs/>
              </w:rPr>
            </w:pPr>
          </w:p>
        </w:tc>
        <w:tc>
          <w:tcPr>
            <w:tcW w:w="563" w:type="dxa"/>
            <w:vAlign w:val="center"/>
          </w:tcPr>
          <w:p w14:paraId="0501A362" w14:textId="77777777" w:rsidR="00303C47" w:rsidRPr="00B60938" w:rsidRDefault="00303C47" w:rsidP="00313F11">
            <w:pPr>
              <w:jc w:val="center"/>
              <w:rPr>
                <w:bCs/>
              </w:rPr>
            </w:pPr>
            <w:r w:rsidRPr="00B60938">
              <w:rPr>
                <w:bCs/>
              </w:rPr>
              <w:t>NH</w:t>
            </w:r>
          </w:p>
        </w:tc>
        <w:tc>
          <w:tcPr>
            <w:tcW w:w="350" w:type="dxa"/>
            <w:vAlign w:val="center"/>
          </w:tcPr>
          <w:p w14:paraId="2AE59C54" w14:textId="77777777" w:rsidR="00303C47" w:rsidRPr="00B60938" w:rsidRDefault="00303C47" w:rsidP="00313F11">
            <w:pPr>
              <w:jc w:val="center"/>
              <w:rPr>
                <w:bCs/>
              </w:rPr>
            </w:pPr>
            <w:r w:rsidRPr="00B60938">
              <w:rPr>
                <w:bCs/>
              </w:rPr>
              <w:t>3</w:t>
            </w:r>
          </w:p>
        </w:tc>
        <w:tc>
          <w:tcPr>
            <w:tcW w:w="620" w:type="dxa"/>
            <w:vAlign w:val="center"/>
          </w:tcPr>
          <w:p w14:paraId="45AAFF0F" w14:textId="77777777" w:rsidR="00303C47" w:rsidRPr="00B60938" w:rsidRDefault="00303C47" w:rsidP="00313F11">
            <w:pPr>
              <w:jc w:val="center"/>
              <w:rPr>
                <w:bCs/>
              </w:rPr>
            </w:pPr>
            <w:r w:rsidRPr="00B60938">
              <w:rPr>
                <w:bCs/>
              </w:rPr>
              <w:t>H</w:t>
            </w:r>
          </w:p>
        </w:tc>
      </w:tr>
      <w:tr w:rsidR="00303C47" w:rsidRPr="00B60938" w14:paraId="71C6DA54" w14:textId="77777777" w:rsidTr="00510018">
        <w:trPr>
          <w:trHeight w:val="454"/>
        </w:trPr>
        <w:tc>
          <w:tcPr>
            <w:tcW w:w="1364" w:type="dxa"/>
            <w:tcBorders>
              <w:top w:val="single" w:sz="4" w:space="0" w:color="auto"/>
            </w:tcBorders>
            <w:vAlign w:val="center"/>
          </w:tcPr>
          <w:p w14:paraId="5E764412" w14:textId="77777777" w:rsidR="00303C47" w:rsidRPr="00B60938" w:rsidRDefault="00303C47" w:rsidP="00313F11">
            <w:pPr>
              <w:jc w:val="center"/>
              <w:rPr>
                <w:b/>
                <w:bCs/>
              </w:rPr>
            </w:pPr>
            <w:r w:rsidRPr="00B60938">
              <w:rPr>
                <w:b/>
                <w:bCs/>
              </w:rPr>
              <w:t>14</w:t>
            </w:r>
          </w:p>
        </w:tc>
        <w:tc>
          <w:tcPr>
            <w:tcW w:w="1536" w:type="dxa"/>
            <w:vMerge w:val="restart"/>
            <w:tcBorders>
              <w:top w:val="single" w:sz="4" w:space="0" w:color="auto"/>
            </w:tcBorders>
            <w:vAlign w:val="center"/>
          </w:tcPr>
          <w:p w14:paraId="7A1E6218" w14:textId="77777777" w:rsidR="00303C47" w:rsidRPr="00B60938" w:rsidRDefault="00303C47" w:rsidP="00313F11">
            <w:pPr>
              <w:jc w:val="center"/>
              <w:rPr>
                <w:b/>
                <w:bCs/>
              </w:rPr>
            </w:pPr>
            <w:r w:rsidRPr="00B60938">
              <w:rPr>
                <w:noProof/>
                <w:lang w:eastAsia="en-US"/>
              </w:rPr>
              <w:drawing>
                <wp:inline distT="0" distB="0" distL="0" distR="0" wp14:anchorId="556339EB" wp14:editId="5AB1D006">
                  <wp:extent cx="482600" cy="7874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2600" cy="787400"/>
                          </a:xfrm>
                          <a:prstGeom prst="rect">
                            <a:avLst/>
                          </a:prstGeom>
                          <a:noFill/>
                          <a:ln>
                            <a:noFill/>
                          </a:ln>
                        </pic:spPr>
                      </pic:pic>
                    </a:graphicData>
                  </a:graphic>
                </wp:inline>
              </w:drawing>
            </w:r>
          </w:p>
        </w:tc>
        <w:tc>
          <w:tcPr>
            <w:tcW w:w="563" w:type="dxa"/>
            <w:tcBorders>
              <w:top w:val="single" w:sz="4" w:space="0" w:color="auto"/>
            </w:tcBorders>
            <w:vAlign w:val="center"/>
          </w:tcPr>
          <w:p w14:paraId="7AA620B6" w14:textId="77777777" w:rsidR="00303C47" w:rsidRPr="00913BF7" w:rsidRDefault="00303C47" w:rsidP="00313F11">
            <w:pPr>
              <w:jc w:val="center"/>
            </w:pPr>
            <w:r w:rsidRPr="00913BF7">
              <w:rPr>
                <w:bCs/>
              </w:rPr>
              <w:t>NH</w:t>
            </w:r>
          </w:p>
        </w:tc>
        <w:tc>
          <w:tcPr>
            <w:tcW w:w="350" w:type="dxa"/>
            <w:tcBorders>
              <w:top w:val="single" w:sz="4" w:space="0" w:color="auto"/>
            </w:tcBorders>
            <w:vAlign w:val="center"/>
          </w:tcPr>
          <w:p w14:paraId="5241D8D5" w14:textId="77777777" w:rsidR="00303C47" w:rsidRPr="00913BF7" w:rsidRDefault="00303C47" w:rsidP="00313F11">
            <w:pPr>
              <w:jc w:val="center"/>
              <w:rPr>
                <w:bCs/>
              </w:rPr>
            </w:pPr>
            <w:r w:rsidRPr="00913BF7">
              <w:rPr>
                <w:bCs/>
              </w:rPr>
              <w:t>0</w:t>
            </w:r>
          </w:p>
        </w:tc>
        <w:tc>
          <w:tcPr>
            <w:tcW w:w="620" w:type="dxa"/>
            <w:tcBorders>
              <w:top w:val="single" w:sz="4" w:space="0" w:color="auto"/>
              <w:right w:val="single" w:sz="4" w:space="0" w:color="auto"/>
            </w:tcBorders>
            <w:vAlign w:val="center"/>
          </w:tcPr>
          <w:p w14:paraId="432840D1" w14:textId="77777777" w:rsidR="00303C47" w:rsidRPr="00B60938" w:rsidRDefault="00303C47" w:rsidP="00313F11">
            <w:pPr>
              <w:jc w:val="center"/>
              <w:rPr>
                <w:bCs/>
              </w:rPr>
            </w:pPr>
            <w:r w:rsidRPr="00E94337">
              <w:rPr>
                <w:bCs/>
              </w:rPr>
              <w:t>H</w:t>
            </w:r>
          </w:p>
        </w:tc>
        <w:tc>
          <w:tcPr>
            <w:tcW w:w="1364" w:type="dxa"/>
            <w:tcBorders>
              <w:left w:val="single" w:sz="4" w:space="0" w:color="auto"/>
              <w:bottom w:val="single" w:sz="4" w:space="0" w:color="auto"/>
            </w:tcBorders>
            <w:vAlign w:val="center"/>
          </w:tcPr>
          <w:p w14:paraId="7A4B58CE" w14:textId="77777777" w:rsidR="00303C47" w:rsidRPr="00B60938" w:rsidRDefault="00303C47" w:rsidP="00313F11">
            <w:pPr>
              <w:jc w:val="center"/>
              <w:rPr>
                <w:bCs/>
              </w:rPr>
            </w:pPr>
            <w:r w:rsidRPr="00B60938">
              <w:rPr>
                <w:b/>
                <w:bCs/>
              </w:rPr>
              <w:t>23</w:t>
            </w:r>
          </w:p>
        </w:tc>
        <w:tc>
          <w:tcPr>
            <w:tcW w:w="1536" w:type="dxa"/>
            <w:vMerge/>
            <w:tcBorders>
              <w:bottom w:val="single" w:sz="4" w:space="0" w:color="auto"/>
            </w:tcBorders>
            <w:vAlign w:val="center"/>
          </w:tcPr>
          <w:p w14:paraId="379AD098" w14:textId="77777777" w:rsidR="00303C47" w:rsidRPr="00B60938" w:rsidRDefault="00303C47" w:rsidP="00313F11">
            <w:pPr>
              <w:jc w:val="center"/>
              <w:rPr>
                <w:bCs/>
              </w:rPr>
            </w:pPr>
          </w:p>
        </w:tc>
        <w:tc>
          <w:tcPr>
            <w:tcW w:w="563" w:type="dxa"/>
            <w:tcBorders>
              <w:bottom w:val="single" w:sz="4" w:space="0" w:color="auto"/>
            </w:tcBorders>
            <w:vAlign w:val="center"/>
          </w:tcPr>
          <w:p w14:paraId="49413780" w14:textId="77777777" w:rsidR="00303C47" w:rsidRPr="00B60938" w:rsidRDefault="00303C47" w:rsidP="00313F11">
            <w:pPr>
              <w:jc w:val="center"/>
              <w:rPr>
                <w:bCs/>
              </w:rPr>
            </w:pPr>
            <w:r w:rsidRPr="00B60938">
              <w:rPr>
                <w:bCs/>
              </w:rPr>
              <w:t>NH</w:t>
            </w:r>
          </w:p>
        </w:tc>
        <w:tc>
          <w:tcPr>
            <w:tcW w:w="350" w:type="dxa"/>
            <w:tcBorders>
              <w:bottom w:val="single" w:sz="4" w:space="0" w:color="auto"/>
            </w:tcBorders>
            <w:vAlign w:val="center"/>
          </w:tcPr>
          <w:p w14:paraId="65FB12FF" w14:textId="77777777" w:rsidR="00303C47" w:rsidRPr="00B60938" w:rsidRDefault="00303C47" w:rsidP="00313F11">
            <w:pPr>
              <w:jc w:val="center"/>
              <w:rPr>
                <w:bCs/>
              </w:rPr>
            </w:pPr>
            <w:r w:rsidRPr="00B60938">
              <w:rPr>
                <w:bCs/>
              </w:rPr>
              <w:t>0</w:t>
            </w:r>
          </w:p>
        </w:tc>
        <w:tc>
          <w:tcPr>
            <w:tcW w:w="620" w:type="dxa"/>
            <w:tcBorders>
              <w:bottom w:val="single" w:sz="4" w:space="0" w:color="auto"/>
            </w:tcBorders>
            <w:vAlign w:val="center"/>
          </w:tcPr>
          <w:p w14:paraId="6C14B73F" w14:textId="77777777" w:rsidR="00303C47" w:rsidRPr="00B60938" w:rsidRDefault="00303C47" w:rsidP="00313F11">
            <w:pPr>
              <w:jc w:val="center"/>
              <w:rPr>
                <w:bCs/>
              </w:rPr>
            </w:pPr>
            <w:r w:rsidRPr="00B60938">
              <w:rPr>
                <w:bCs/>
              </w:rPr>
              <w:t>CH</w:t>
            </w:r>
            <w:r w:rsidRPr="00B60938">
              <w:rPr>
                <w:bCs/>
                <w:vertAlign w:val="subscript"/>
              </w:rPr>
              <w:t>3</w:t>
            </w:r>
          </w:p>
        </w:tc>
      </w:tr>
      <w:tr w:rsidR="00303C47" w:rsidRPr="00B60938" w14:paraId="1FA6AB28" w14:textId="77777777" w:rsidTr="00510018">
        <w:trPr>
          <w:trHeight w:val="454"/>
        </w:trPr>
        <w:tc>
          <w:tcPr>
            <w:tcW w:w="1364" w:type="dxa"/>
            <w:vAlign w:val="center"/>
          </w:tcPr>
          <w:p w14:paraId="74B2BED3" w14:textId="77777777" w:rsidR="00303C47" w:rsidRPr="00B60938" w:rsidRDefault="00303C47" w:rsidP="00313F11">
            <w:pPr>
              <w:jc w:val="center"/>
              <w:rPr>
                <w:b/>
                <w:bCs/>
              </w:rPr>
            </w:pPr>
            <w:r w:rsidRPr="00B60938">
              <w:rPr>
                <w:b/>
                <w:bCs/>
              </w:rPr>
              <w:t>15</w:t>
            </w:r>
          </w:p>
        </w:tc>
        <w:tc>
          <w:tcPr>
            <w:tcW w:w="1536" w:type="dxa"/>
            <w:vMerge/>
            <w:vAlign w:val="center"/>
          </w:tcPr>
          <w:p w14:paraId="084F9DAA" w14:textId="77777777" w:rsidR="00303C47" w:rsidRPr="00B60938" w:rsidRDefault="00303C47" w:rsidP="00313F11">
            <w:pPr>
              <w:jc w:val="center"/>
              <w:rPr>
                <w:b/>
                <w:bCs/>
              </w:rPr>
            </w:pPr>
          </w:p>
        </w:tc>
        <w:tc>
          <w:tcPr>
            <w:tcW w:w="563" w:type="dxa"/>
            <w:vAlign w:val="center"/>
          </w:tcPr>
          <w:p w14:paraId="716043B8" w14:textId="77777777" w:rsidR="00303C47" w:rsidRPr="00B60938" w:rsidRDefault="00303C47" w:rsidP="00313F11">
            <w:pPr>
              <w:jc w:val="center"/>
            </w:pPr>
            <w:r w:rsidRPr="00B60938">
              <w:rPr>
                <w:bCs/>
              </w:rPr>
              <w:t>NH</w:t>
            </w:r>
          </w:p>
        </w:tc>
        <w:tc>
          <w:tcPr>
            <w:tcW w:w="350" w:type="dxa"/>
            <w:vAlign w:val="center"/>
          </w:tcPr>
          <w:p w14:paraId="1512D631" w14:textId="77777777" w:rsidR="00303C47" w:rsidRPr="00B60938" w:rsidRDefault="00303C47" w:rsidP="00313F11">
            <w:pPr>
              <w:jc w:val="center"/>
              <w:rPr>
                <w:bCs/>
              </w:rPr>
            </w:pPr>
            <w:r w:rsidRPr="00B60938">
              <w:rPr>
                <w:bCs/>
              </w:rPr>
              <w:t>1</w:t>
            </w:r>
          </w:p>
        </w:tc>
        <w:tc>
          <w:tcPr>
            <w:tcW w:w="620" w:type="dxa"/>
            <w:tcBorders>
              <w:right w:val="single" w:sz="4" w:space="0" w:color="auto"/>
            </w:tcBorders>
            <w:vAlign w:val="center"/>
          </w:tcPr>
          <w:p w14:paraId="0EAFE275" w14:textId="77777777" w:rsidR="00303C47" w:rsidRPr="00B60938" w:rsidRDefault="00303C47" w:rsidP="00313F11">
            <w:pPr>
              <w:jc w:val="center"/>
              <w:rPr>
                <w:bCs/>
              </w:rPr>
            </w:pPr>
            <w:r w:rsidRPr="00B60938">
              <w:rPr>
                <w:bCs/>
              </w:rPr>
              <w:t>H</w:t>
            </w:r>
          </w:p>
        </w:tc>
        <w:tc>
          <w:tcPr>
            <w:tcW w:w="1364" w:type="dxa"/>
            <w:tcBorders>
              <w:top w:val="single" w:sz="4" w:space="0" w:color="auto"/>
              <w:left w:val="single" w:sz="4" w:space="0" w:color="auto"/>
            </w:tcBorders>
            <w:vAlign w:val="center"/>
          </w:tcPr>
          <w:p w14:paraId="0C8F4F04" w14:textId="77777777" w:rsidR="00303C47" w:rsidRPr="00B60938" w:rsidRDefault="00303C47" w:rsidP="00313F11">
            <w:pPr>
              <w:jc w:val="center"/>
              <w:rPr>
                <w:bCs/>
              </w:rPr>
            </w:pPr>
            <w:r w:rsidRPr="00B60938">
              <w:rPr>
                <w:b/>
                <w:bCs/>
              </w:rPr>
              <w:t>24</w:t>
            </w:r>
          </w:p>
        </w:tc>
        <w:tc>
          <w:tcPr>
            <w:tcW w:w="1536" w:type="dxa"/>
            <w:vMerge w:val="restart"/>
            <w:tcBorders>
              <w:top w:val="single" w:sz="4" w:space="0" w:color="auto"/>
            </w:tcBorders>
            <w:vAlign w:val="center"/>
          </w:tcPr>
          <w:p w14:paraId="70D6FBE1" w14:textId="77777777" w:rsidR="00303C47" w:rsidRPr="00B60938" w:rsidRDefault="00303C47" w:rsidP="00313F11">
            <w:pPr>
              <w:jc w:val="center"/>
              <w:rPr>
                <w:bCs/>
              </w:rPr>
            </w:pPr>
            <w:r w:rsidRPr="00B60938">
              <w:rPr>
                <w:noProof/>
                <w:lang w:eastAsia="en-US"/>
              </w:rPr>
              <w:drawing>
                <wp:inline distT="0" distB="0" distL="0" distR="0" wp14:anchorId="72866658" wp14:editId="29113AF3">
                  <wp:extent cx="762000" cy="550545"/>
                  <wp:effectExtent l="0" t="0" r="0" b="825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62000" cy="550545"/>
                          </a:xfrm>
                          <a:prstGeom prst="rect">
                            <a:avLst/>
                          </a:prstGeom>
                          <a:noFill/>
                          <a:ln>
                            <a:noFill/>
                          </a:ln>
                        </pic:spPr>
                      </pic:pic>
                    </a:graphicData>
                  </a:graphic>
                </wp:inline>
              </w:drawing>
            </w:r>
          </w:p>
        </w:tc>
        <w:tc>
          <w:tcPr>
            <w:tcW w:w="563" w:type="dxa"/>
            <w:tcBorders>
              <w:top w:val="single" w:sz="4" w:space="0" w:color="auto"/>
            </w:tcBorders>
            <w:vAlign w:val="center"/>
          </w:tcPr>
          <w:p w14:paraId="0289E61F" w14:textId="77777777" w:rsidR="00303C47" w:rsidRPr="00913BF7" w:rsidRDefault="00303C47" w:rsidP="00313F11">
            <w:pPr>
              <w:jc w:val="center"/>
              <w:rPr>
                <w:bCs/>
              </w:rPr>
            </w:pPr>
            <w:r w:rsidRPr="00913BF7">
              <w:rPr>
                <w:bCs/>
              </w:rPr>
              <w:t>NH</w:t>
            </w:r>
          </w:p>
        </w:tc>
        <w:tc>
          <w:tcPr>
            <w:tcW w:w="350" w:type="dxa"/>
            <w:tcBorders>
              <w:top w:val="single" w:sz="4" w:space="0" w:color="auto"/>
            </w:tcBorders>
            <w:vAlign w:val="center"/>
          </w:tcPr>
          <w:p w14:paraId="7F4DDEA4" w14:textId="77777777" w:rsidR="00303C47" w:rsidRPr="00913BF7" w:rsidRDefault="00303C47" w:rsidP="00313F11">
            <w:pPr>
              <w:jc w:val="center"/>
              <w:rPr>
                <w:bCs/>
              </w:rPr>
            </w:pPr>
            <w:r w:rsidRPr="00913BF7">
              <w:rPr>
                <w:bCs/>
              </w:rPr>
              <w:t>0</w:t>
            </w:r>
          </w:p>
        </w:tc>
        <w:tc>
          <w:tcPr>
            <w:tcW w:w="620" w:type="dxa"/>
            <w:tcBorders>
              <w:top w:val="single" w:sz="4" w:space="0" w:color="auto"/>
            </w:tcBorders>
            <w:vAlign w:val="center"/>
          </w:tcPr>
          <w:p w14:paraId="6963404D" w14:textId="77777777" w:rsidR="00303C47" w:rsidRPr="00B60938" w:rsidRDefault="00303C47" w:rsidP="00313F11">
            <w:pPr>
              <w:jc w:val="center"/>
              <w:rPr>
                <w:bCs/>
              </w:rPr>
            </w:pPr>
            <w:r w:rsidRPr="00E94337">
              <w:rPr>
                <w:bCs/>
              </w:rPr>
              <w:t>H</w:t>
            </w:r>
          </w:p>
        </w:tc>
      </w:tr>
      <w:tr w:rsidR="00303C47" w:rsidRPr="00B60938" w14:paraId="59ED9181" w14:textId="77777777" w:rsidTr="00510018">
        <w:trPr>
          <w:trHeight w:val="454"/>
        </w:trPr>
        <w:tc>
          <w:tcPr>
            <w:tcW w:w="1364" w:type="dxa"/>
            <w:vAlign w:val="center"/>
          </w:tcPr>
          <w:p w14:paraId="5800E78F" w14:textId="77777777" w:rsidR="00303C47" w:rsidRPr="00B60938" w:rsidRDefault="00303C47" w:rsidP="00313F11">
            <w:pPr>
              <w:jc w:val="center"/>
              <w:rPr>
                <w:b/>
                <w:bCs/>
              </w:rPr>
            </w:pPr>
            <w:r w:rsidRPr="00B60938">
              <w:rPr>
                <w:b/>
                <w:bCs/>
              </w:rPr>
              <w:t>16</w:t>
            </w:r>
          </w:p>
        </w:tc>
        <w:tc>
          <w:tcPr>
            <w:tcW w:w="1536" w:type="dxa"/>
            <w:vMerge/>
            <w:vAlign w:val="center"/>
          </w:tcPr>
          <w:p w14:paraId="35C04479" w14:textId="77777777" w:rsidR="00303C47" w:rsidRPr="00B60938" w:rsidRDefault="00303C47" w:rsidP="00313F11">
            <w:pPr>
              <w:jc w:val="center"/>
              <w:rPr>
                <w:b/>
                <w:bCs/>
              </w:rPr>
            </w:pPr>
          </w:p>
        </w:tc>
        <w:tc>
          <w:tcPr>
            <w:tcW w:w="563" w:type="dxa"/>
            <w:vAlign w:val="center"/>
          </w:tcPr>
          <w:p w14:paraId="2C0FA289" w14:textId="77777777" w:rsidR="00303C47" w:rsidRPr="00B60938" w:rsidRDefault="00303C47" w:rsidP="00313F11">
            <w:pPr>
              <w:jc w:val="center"/>
            </w:pPr>
            <w:r w:rsidRPr="00B60938">
              <w:rPr>
                <w:bCs/>
              </w:rPr>
              <w:t>NH</w:t>
            </w:r>
          </w:p>
        </w:tc>
        <w:tc>
          <w:tcPr>
            <w:tcW w:w="350" w:type="dxa"/>
            <w:vAlign w:val="center"/>
          </w:tcPr>
          <w:p w14:paraId="6EDB2DAB" w14:textId="77777777" w:rsidR="00303C47" w:rsidRPr="00B60938" w:rsidRDefault="00303C47" w:rsidP="00313F11">
            <w:pPr>
              <w:jc w:val="center"/>
              <w:rPr>
                <w:bCs/>
              </w:rPr>
            </w:pPr>
            <w:r w:rsidRPr="00B60938">
              <w:rPr>
                <w:bCs/>
              </w:rPr>
              <w:t>2</w:t>
            </w:r>
          </w:p>
        </w:tc>
        <w:tc>
          <w:tcPr>
            <w:tcW w:w="620" w:type="dxa"/>
            <w:tcBorders>
              <w:right w:val="single" w:sz="4" w:space="0" w:color="auto"/>
            </w:tcBorders>
            <w:vAlign w:val="center"/>
          </w:tcPr>
          <w:p w14:paraId="6973F965" w14:textId="77777777" w:rsidR="00303C47" w:rsidRPr="00B60938" w:rsidRDefault="00303C47" w:rsidP="00313F11">
            <w:pPr>
              <w:jc w:val="center"/>
              <w:rPr>
                <w:bCs/>
              </w:rPr>
            </w:pPr>
            <w:r w:rsidRPr="00B60938">
              <w:rPr>
                <w:bCs/>
              </w:rPr>
              <w:t>H</w:t>
            </w:r>
          </w:p>
        </w:tc>
        <w:tc>
          <w:tcPr>
            <w:tcW w:w="1364" w:type="dxa"/>
            <w:tcBorders>
              <w:left w:val="single" w:sz="4" w:space="0" w:color="auto"/>
              <w:bottom w:val="single" w:sz="4" w:space="0" w:color="auto"/>
            </w:tcBorders>
            <w:vAlign w:val="center"/>
          </w:tcPr>
          <w:p w14:paraId="213396B2" w14:textId="77777777" w:rsidR="00303C47" w:rsidRPr="00B60938" w:rsidRDefault="00303C47" w:rsidP="00313F11">
            <w:pPr>
              <w:jc w:val="center"/>
              <w:rPr>
                <w:bCs/>
              </w:rPr>
            </w:pPr>
            <w:r w:rsidRPr="00B60938">
              <w:rPr>
                <w:b/>
                <w:bCs/>
              </w:rPr>
              <w:t>25</w:t>
            </w:r>
          </w:p>
        </w:tc>
        <w:tc>
          <w:tcPr>
            <w:tcW w:w="1536" w:type="dxa"/>
            <w:vMerge/>
            <w:tcBorders>
              <w:bottom w:val="single" w:sz="4" w:space="0" w:color="auto"/>
            </w:tcBorders>
            <w:vAlign w:val="center"/>
          </w:tcPr>
          <w:p w14:paraId="5328FFEE" w14:textId="77777777" w:rsidR="00303C47" w:rsidRPr="00B60938" w:rsidRDefault="00303C47" w:rsidP="00313F11">
            <w:pPr>
              <w:jc w:val="center"/>
              <w:rPr>
                <w:bCs/>
              </w:rPr>
            </w:pPr>
          </w:p>
        </w:tc>
        <w:tc>
          <w:tcPr>
            <w:tcW w:w="563" w:type="dxa"/>
            <w:tcBorders>
              <w:bottom w:val="single" w:sz="4" w:space="0" w:color="auto"/>
            </w:tcBorders>
            <w:vAlign w:val="center"/>
          </w:tcPr>
          <w:p w14:paraId="66EF426C" w14:textId="77777777" w:rsidR="00303C47" w:rsidRPr="00B60938" w:rsidRDefault="00303C47" w:rsidP="00313F11">
            <w:pPr>
              <w:jc w:val="center"/>
              <w:rPr>
                <w:bCs/>
              </w:rPr>
            </w:pPr>
            <w:r w:rsidRPr="00B60938">
              <w:rPr>
                <w:bCs/>
              </w:rPr>
              <w:t>NH</w:t>
            </w:r>
          </w:p>
        </w:tc>
        <w:tc>
          <w:tcPr>
            <w:tcW w:w="350" w:type="dxa"/>
            <w:tcBorders>
              <w:bottom w:val="single" w:sz="4" w:space="0" w:color="auto"/>
            </w:tcBorders>
            <w:vAlign w:val="center"/>
          </w:tcPr>
          <w:p w14:paraId="03D417D5" w14:textId="77777777" w:rsidR="00303C47" w:rsidRPr="00B60938" w:rsidRDefault="00303C47" w:rsidP="00313F11">
            <w:pPr>
              <w:jc w:val="center"/>
              <w:rPr>
                <w:bCs/>
              </w:rPr>
            </w:pPr>
            <w:r w:rsidRPr="00B60938">
              <w:rPr>
                <w:bCs/>
              </w:rPr>
              <w:t>1</w:t>
            </w:r>
          </w:p>
        </w:tc>
        <w:tc>
          <w:tcPr>
            <w:tcW w:w="620" w:type="dxa"/>
            <w:tcBorders>
              <w:bottom w:val="single" w:sz="4" w:space="0" w:color="auto"/>
            </w:tcBorders>
            <w:vAlign w:val="center"/>
          </w:tcPr>
          <w:p w14:paraId="7AA2FDBF" w14:textId="77777777" w:rsidR="00303C47" w:rsidRPr="00B60938" w:rsidRDefault="00303C47" w:rsidP="00313F11">
            <w:pPr>
              <w:jc w:val="center"/>
              <w:rPr>
                <w:bCs/>
              </w:rPr>
            </w:pPr>
            <w:r w:rsidRPr="00B60938">
              <w:rPr>
                <w:bCs/>
              </w:rPr>
              <w:t>H</w:t>
            </w:r>
          </w:p>
        </w:tc>
      </w:tr>
      <w:tr w:rsidR="00303C47" w:rsidRPr="00B60938" w14:paraId="38C96970" w14:textId="77777777" w:rsidTr="00510018">
        <w:trPr>
          <w:trHeight w:val="454"/>
        </w:trPr>
        <w:tc>
          <w:tcPr>
            <w:tcW w:w="1364" w:type="dxa"/>
            <w:vAlign w:val="center"/>
          </w:tcPr>
          <w:p w14:paraId="09F3EB4A" w14:textId="77777777" w:rsidR="00303C47" w:rsidRPr="00B60938" w:rsidRDefault="00303C47" w:rsidP="00313F11">
            <w:pPr>
              <w:jc w:val="center"/>
              <w:rPr>
                <w:b/>
                <w:bCs/>
              </w:rPr>
            </w:pPr>
            <w:r w:rsidRPr="00B60938">
              <w:rPr>
                <w:b/>
                <w:bCs/>
              </w:rPr>
              <w:t>17</w:t>
            </w:r>
          </w:p>
        </w:tc>
        <w:tc>
          <w:tcPr>
            <w:tcW w:w="1536" w:type="dxa"/>
            <w:vMerge/>
            <w:vAlign w:val="center"/>
          </w:tcPr>
          <w:p w14:paraId="6D963F29" w14:textId="77777777" w:rsidR="00303C47" w:rsidRPr="00B60938" w:rsidRDefault="00303C47" w:rsidP="00313F11">
            <w:pPr>
              <w:jc w:val="center"/>
              <w:rPr>
                <w:b/>
                <w:bCs/>
              </w:rPr>
            </w:pPr>
          </w:p>
        </w:tc>
        <w:tc>
          <w:tcPr>
            <w:tcW w:w="563" w:type="dxa"/>
            <w:vAlign w:val="center"/>
          </w:tcPr>
          <w:p w14:paraId="3801FA76" w14:textId="77777777" w:rsidR="00303C47" w:rsidRPr="00B60938" w:rsidRDefault="00303C47" w:rsidP="00313F11">
            <w:pPr>
              <w:jc w:val="center"/>
            </w:pPr>
            <w:r w:rsidRPr="00B60938">
              <w:rPr>
                <w:bCs/>
              </w:rPr>
              <w:t>NH</w:t>
            </w:r>
          </w:p>
        </w:tc>
        <w:tc>
          <w:tcPr>
            <w:tcW w:w="350" w:type="dxa"/>
            <w:vAlign w:val="center"/>
          </w:tcPr>
          <w:p w14:paraId="3EF2505E" w14:textId="77777777" w:rsidR="00303C47" w:rsidRPr="00B60938" w:rsidRDefault="00303C47" w:rsidP="00313F11">
            <w:pPr>
              <w:jc w:val="center"/>
              <w:rPr>
                <w:bCs/>
              </w:rPr>
            </w:pPr>
            <w:r w:rsidRPr="00B60938">
              <w:rPr>
                <w:bCs/>
              </w:rPr>
              <w:t>3</w:t>
            </w:r>
          </w:p>
        </w:tc>
        <w:tc>
          <w:tcPr>
            <w:tcW w:w="620" w:type="dxa"/>
            <w:tcBorders>
              <w:right w:val="single" w:sz="4" w:space="0" w:color="auto"/>
            </w:tcBorders>
            <w:vAlign w:val="center"/>
          </w:tcPr>
          <w:p w14:paraId="7101F545" w14:textId="77777777" w:rsidR="00303C47" w:rsidRPr="00B60938" w:rsidRDefault="00303C47" w:rsidP="00313F11">
            <w:pPr>
              <w:jc w:val="center"/>
              <w:rPr>
                <w:bCs/>
              </w:rPr>
            </w:pPr>
            <w:r w:rsidRPr="00B60938">
              <w:rPr>
                <w:bCs/>
              </w:rPr>
              <w:t>H</w:t>
            </w:r>
          </w:p>
        </w:tc>
        <w:tc>
          <w:tcPr>
            <w:tcW w:w="1364" w:type="dxa"/>
            <w:tcBorders>
              <w:top w:val="single" w:sz="4" w:space="0" w:color="auto"/>
              <w:left w:val="single" w:sz="4" w:space="0" w:color="auto"/>
              <w:bottom w:val="single" w:sz="4" w:space="0" w:color="auto"/>
            </w:tcBorders>
            <w:vAlign w:val="center"/>
          </w:tcPr>
          <w:p w14:paraId="732B5113" w14:textId="77777777" w:rsidR="00303C47" w:rsidRPr="00B60938" w:rsidRDefault="00303C47" w:rsidP="00313F11">
            <w:pPr>
              <w:jc w:val="center"/>
              <w:rPr>
                <w:bCs/>
              </w:rPr>
            </w:pPr>
            <w:r w:rsidRPr="00B60938">
              <w:rPr>
                <w:b/>
                <w:bCs/>
              </w:rPr>
              <w:t>26</w:t>
            </w:r>
          </w:p>
        </w:tc>
        <w:tc>
          <w:tcPr>
            <w:tcW w:w="1536" w:type="dxa"/>
            <w:tcBorders>
              <w:top w:val="single" w:sz="4" w:space="0" w:color="auto"/>
              <w:bottom w:val="single" w:sz="4" w:space="0" w:color="auto"/>
            </w:tcBorders>
            <w:vAlign w:val="center"/>
          </w:tcPr>
          <w:p w14:paraId="5FD22D3A" w14:textId="77777777" w:rsidR="00303C47" w:rsidRPr="00B60938" w:rsidRDefault="00303C47" w:rsidP="00313F11">
            <w:pPr>
              <w:jc w:val="center"/>
              <w:rPr>
                <w:bCs/>
              </w:rPr>
            </w:pPr>
            <w:r w:rsidRPr="00B60938">
              <w:rPr>
                <w:noProof/>
                <w:lang w:eastAsia="en-US"/>
              </w:rPr>
              <w:drawing>
                <wp:inline distT="0" distB="0" distL="0" distR="0" wp14:anchorId="150F5538" wp14:editId="08451020">
                  <wp:extent cx="838200" cy="508000"/>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38200" cy="508000"/>
                          </a:xfrm>
                          <a:prstGeom prst="rect">
                            <a:avLst/>
                          </a:prstGeom>
                          <a:noFill/>
                          <a:ln>
                            <a:noFill/>
                          </a:ln>
                        </pic:spPr>
                      </pic:pic>
                    </a:graphicData>
                  </a:graphic>
                </wp:inline>
              </w:drawing>
            </w:r>
          </w:p>
        </w:tc>
        <w:tc>
          <w:tcPr>
            <w:tcW w:w="563" w:type="dxa"/>
            <w:tcBorders>
              <w:top w:val="single" w:sz="4" w:space="0" w:color="auto"/>
              <w:bottom w:val="single" w:sz="4" w:space="0" w:color="auto"/>
            </w:tcBorders>
            <w:vAlign w:val="center"/>
          </w:tcPr>
          <w:p w14:paraId="1D1DF67E" w14:textId="77777777" w:rsidR="00303C47" w:rsidRPr="00913BF7" w:rsidRDefault="00303C47" w:rsidP="00313F11">
            <w:pPr>
              <w:jc w:val="center"/>
              <w:rPr>
                <w:bCs/>
              </w:rPr>
            </w:pPr>
            <w:r w:rsidRPr="00913BF7">
              <w:rPr>
                <w:bCs/>
              </w:rPr>
              <w:t>S</w:t>
            </w:r>
          </w:p>
        </w:tc>
        <w:tc>
          <w:tcPr>
            <w:tcW w:w="350" w:type="dxa"/>
            <w:tcBorders>
              <w:top w:val="single" w:sz="4" w:space="0" w:color="auto"/>
              <w:bottom w:val="single" w:sz="4" w:space="0" w:color="auto"/>
            </w:tcBorders>
            <w:vAlign w:val="center"/>
          </w:tcPr>
          <w:p w14:paraId="2186133F" w14:textId="77777777" w:rsidR="00303C47" w:rsidRPr="00913BF7" w:rsidRDefault="00303C47" w:rsidP="00313F11">
            <w:pPr>
              <w:jc w:val="center"/>
              <w:rPr>
                <w:bCs/>
              </w:rPr>
            </w:pPr>
            <w:r w:rsidRPr="00913BF7">
              <w:rPr>
                <w:bCs/>
              </w:rPr>
              <w:t>0</w:t>
            </w:r>
          </w:p>
        </w:tc>
        <w:tc>
          <w:tcPr>
            <w:tcW w:w="620" w:type="dxa"/>
            <w:tcBorders>
              <w:top w:val="single" w:sz="4" w:space="0" w:color="auto"/>
              <w:bottom w:val="single" w:sz="4" w:space="0" w:color="auto"/>
            </w:tcBorders>
            <w:vAlign w:val="center"/>
          </w:tcPr>
          <w:p w14:paraId="2F9D18B3" w14:textId="77777777" w:rsidR="00303C47" w:rsidRPr="00B60938" w:rsidRDefault="00303C47" w:rsidP="00313F11">
            <w:pPr>
              <w:jc w:val="center"/>
              <w:rPr>
                <w:bCs/>
              </w:rPr>
            </w:pPr>
            <w:r w:rsidRPr="00E94337">
              <w:rPr>
                <w:bCs/>
              </w:rPr>
              <w:t>H</w:t>
            </w:r>
          </w:p>
        </w:tc>
      </w:tr>
      <w:tr w:rsidR="00303C47" w:rsidRPr="00B60938" w14:paraId="0ACCCD2B" w14:textId="77777777" w:rsidTr="00510018">
        <w:trPr>
          <w:trHeight w:val="454"/>
        </w:trPr>
        <w:tc>
          <w:tcPr>
            <w:tcW w:w="1364" w:type="dxa"/>
            <w:vAlign w:val="center"/>
          </w:tcPr>
          <w:p w14:paraId="21DEC26F" w14:textId="77777777" w:rsidR="00303C47" w:rsidRPr="00B60938" w:rsidRDefault="00303C47" w:rsidP="00313F11">
            <w:pPr>
              <w:jc w:val="center"/>
              <w:rPr>
                <w:b/>
                <w:bCs/>
              </w:rPr>
            </w:pPr>
            <w:r w:rsidRPr="00B60938">
              <w:rPr>
                <w:b/>
                <w:bCs/>
              </w:rPr>
              <w:t>18</w:t>
            </w:r>
          </w:p>
        </w:tc>
        <w:tc>
          <w:tcPr>
            <w:tcW w:w="1536" w:type="dxa"/>
            <w:vMerge/>
            <w:vAlign w:val="center"/>
          </w:tcPr>
          <w:p w14:paraId="79D5E081" w14:textId="77777777" w:rsidR="00303C47" w:rsidRPr="00B60938" w:rsidRDefault="00303C47" w:rsidP="00313F11">
            <w:pPr>
              <w:jc w:val="center"/>
              <w:rPr>
                <w:b/>
                <w:bCs/>
              </w:rPr>
            </w:pPr>
          </w:p>
        </w:tc>
        <w:tc>
          <w:tcPr>
            <w:tcW w:w="563" w:type="dxa"/>
            <w:vAlign w:val="center"/>
          </w:tcPr>
          <w:p w14:paraId="1D12C04F" w14:textId="77777777" w:rsidR="00303C47" w:rsidRPr="00B60938" w:rsidRDefault="00303C47" w:rsidP="00313F11">
            <w:pPr>
              <w:jc w:val="center"/>
            </w:pPr>
            <w:r w:rsidRPr="00B60938">
              <w:rPr>
                <w:bCs/>
              </w:rPr>
              <w:t>NH</w:t>
            </w:r>
          </w:p>
        </w:tc>
        <w:tc>
          <w:tcPr>
            <w:tcW w:w="350" w:type="dxa"/>
            <w:vAlign w:val="center"/>
          </w:tcPr>
          <w:p w14:paraId="73684B85" w14:textId="77777777" w:rsidR="00303C47" w:rsidRPr="00B60938" w:rsidRDefault="00303C47" w:rsidP="00313F11">
            <w:pPr>
              <w:jc w:val="center"/>
              <w:rPr>
                <w:bCs/>
              </w:rPr>
            </w:pPr>
            <w:r w:rsidRPr="00B60938">
              <w:rPr>
                <w:bCs/>
              </w:rPr>
              <w:t>0</w:t>
            </w:r>
          </w:p>
        </w:tc>
        <w:tc>
          <w:tcPr>
            <w:tcW w:w="620" w:type="dxa"/>
            <w:tcBorders>
              <w:right w:val="single" w:sz="4" w:space="0" w:color="auto"/>
            </w:tcBorders>
            <w:vAlign w:val="center"/>
          </w:tcPr>
          <w:p w14:paraId="03262FB2" w14:textId="77777777" w:rsidR="00303C47" w:rsidRPr="00B60938" w:rsidRDefault="00303C47" w:rsidP="00313F11">
            <w:pPr>
              <w:jc w:val="center"/>
              <w:rPr>
                <w:bCs/>
              </w:rPr>
            </w:pPr>
            <w:r w:rsidRPr="00B60938">
              <w:rPr>
                <w:bCs/>
              </w:rPr>
              <w:t>CH</w:t>
            </w:r>
            <w:r w:rsidRPr="00B60938">
              <w:rPr>
                <w:bCs/>
                <w:vertAlign w:val="subscript"/>
              </w:rPr>
              <w:t>3</w:t>
            </w:r>
          </w:p>
        </w:tc>
        <w:tc>
          <w:tcPr>
            <w:tcW w:w="1364" w:type="dxa"/>
            <w:tcBorders>
              <w:top w:val="single" w:sz="4" w:space="0" w:color="auto"/>
              <w:left w:val="single" w:sz="4" w:space="0" w:color="auto"/>
            </w:tcBorders>
            <w:vAlign w:val="center"/>
          </w:tcPr>
          <w:p w14:paraId="6B00753C" w14:textId="77777777" w:rsidR="00303C47" w:rsidRPr="00B60938" w:rsidRDefault="00303C47" w:rsidP="00313F11">
            <w:pPr>
              <w:jc w:val="center"/>
              <w:rPr>
                <w:bCs/>
              </w:rPr>
            </w:pPr>
            <w:r w:rsidRPr="00B60938">
              <w:rPr>
                <w:b/>
                <w:bCs/>
              </w:rPr>
              <w:t>27</w:t>
            </w:r>
          </w:p>
        </w:tc>
        <w:tc>
          <w:tcPr>
            <w:tcW w:w="1536" w:type="dxa"/>
            <w:vMerge w:val="restart"/>
            <w:tcBorders>
              <w:top w:val="single" w:sz="4" w:space="0" w:color="auto"/>
            </w:tcBorders>
            <w:vAlign w:val="center"/>
          </w:tcPr>
          <w:p w14:paraId="0B9E7A22" w14:textId="77777777" w:rsidR="00303C47" w:rsidRPr="00B60938" w:rsidRDefault="00303C47" w:rsidP="00313F11">
            <w:pPr>
              <w:jc w:val="center"/>
              <w:rPr>
                <w:bCs/>
              </w:rPr>
            </w:pPr>
            <w:r w:rsidRPr="00B60938">
              <w:rPr>
                <w:noProof/>
                <w:lang w:eastAsia="en-US"/>
              </w:rPr>
              <w:drawing>
                <wp:inline distT="0" distB="0" distL="0" distR="0" wp14:anchorId="5C8859BD" wp14:editId="75E797C0">
                  <wp:extent cx="838200" cy="431800"/>
                  <wp:effectExtent l="0" t="0" r="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38200" cy="431800"/>
                          </a:xfrm>
                          <a:prstGeom prst="rect">
                            <a:avLst/>
                          </a:prstGeom>
                          <a:noFill/>
                          <a:ln>
                            <a:noFill/>
                          </a:ln>
                        </pic:spPr>
                      </pic:pic>
                    </a:graphicData>
                  </a:graphic>
                </wp:inline>
              </w:drawing>
            </w:r>
          </w:p>
        </w:tc>
        <w:tc>
          <w:tcPr>
            <w:tcW w:w="563" w:type="dxa"/>
            <w:tcBorders>
              <w:top w:val="single" w:sz="4" w:space="0" w:color="auto"/>
            </w:tcBorders>
            <w:vAlign w:val="center"/>
          </w:tcPr>
          <w:p w14:paraId="59C03428" w14:textId="77777777" w:rsidR="00303C47" w:rsidRPr="00913BF7" w:rsidRDefault="00303C47" w:rsidP="00313F11">
            <w:pPr>
              <w:jc w:val="center"/>
              <w:rPr>
                <w:bCs/>
              </w:rPr>
            </w:pPr>
            <w:r w:rsidRPr="00913BF7">
              <w:rPr>
                <w:bCs/>
              </w:rPr>
              <w:t>NH</w:t>
            </w:r>
          </w:p>
        </w:tc>
        <w:tc>
          <w:tcPr>
            <w:tcW w:w="350" w:type="dxa"/>
            <w:tcBorders>
              <w:top w:val="single" w:sz="4" w:space="0" w:color="auto"/>
            </w:tcBorders>
            <w:vAlign w:val="center"/>
          </w:tcPr>
          <w:p w14:paraId="3D9DB926" w14:textId="77777777" w:rsidR="00303C47" w:rsidRPr="00913BF7" w:rsidRDefault="00303C47" w:rsidP="00313F11">
            <w:pPr>
              <w:jc w:val="center"/>
              <w:rPr>
                <w:bCs/>
              </w:rPr>
            </w:pPr>
            <w:r w:rsidRPr="00913BF7">
              <w:rPr>
                <w:bCs/>
              </w:rPr>
              <w:t>0</w:t>
            </w:r>
          </w:p>
        </w:tc>
        <w:tc>
          <w:tcPr>
            <w:tcW w:w="620" w:type="dxa"/>
            <w:tcBorders>
              <w:top w:val="single" w:sz="4" w:space="0" w:color="auto"/>
            </w:tcBorders>
            <w:vAlign w:val="center"/>
          </w:tcPr>
          <w:p w14:paraId="66D4BFBE" w14:textId="77777777" w:rsidR="00303C47" w:rsidRPr="00B60938" w:rsidRDefault="00303C47" w:rsidP="00313F11">
            <w:pPr>
              <w:jc w:val="center"/>
              <w:rPr>
                <w:bCs/>
              </w:rPr>
            </w:pPr>
            <w:r w:rsidRPr="00E94337">
              <w:rPr>
                <w:bCs/>
              </w:rPr>
              <w:t>H</w:t>
            </w:r>
          </w:p>
        </w:tc>
      </w:tr>
      <w:tr w:rsidR="00303C47" w:rsidRPr="00B60938" w14:paraId="015E53C8" w14:textId="77777777" w:rsidTr="00510018">
        <w:trPr>
          <w:trHeight w:val="454"/>
        </w:trPr>
        <w:tc>
          <w:tcPr>
            <w:tcW w:w="1364" w:type="dxa"/>
            <w:tcBorders>
              <w:bottom w:val="single" w:sz="4" w:space="0" w:color="auto"/>
            </w:tcBorders>
            <w:vAlign w:val="center"/>
          </w:tcPr>
          <w:p w14:paraId="6DE7A8BC" w14:textId="77777777" w:rsidR="00303C47" w:rsidRPr="00B60938" w:rsidRDefault="00303C47" w:rsidP="00313F11">
            <w:pPr>
              <w:jc w:val="center"/>
              <w:rPr>
                <w:b/>
                <w:bCs/>
              </w:rPr>
            </w:pPr>
          </w:p>
        </w:tc>
        <w:tc>
          <w:tcPr>
            <w:tcW w:w="1536" w:type="dxa"/>
            <w:tcBorders>
              <w:bottom w:val="single" w:sz="4" w:space="0" w:color="auto"/>
            </w:tcBorders>
            <w:vAlign w:val="center"/>
          </w:tcPr>
          <w:p w14:paraId="6B412463" w14:textId="77777777" w:rsidR="00303C47" w:rsidRPr="00B60938" w:rsidRDefault="00303C47" w:rsidP="00313F11">
            <w:pPr>
              <w:jc w:val="center"/>
              <w:rPr>
                <w:b/>
                <w:bCs/>
              </w:rPr>
            </w:pPr>
          </w:p>
        </w:tc>
        <w:tc>
          <w:tcPr>
            <w:tcW w:w="563" w:type="dxa"/>
            <w:tcBorders>
              <w:bottom w:val="single" w:sz="4" w:space="0" w:color="auto"/>
            </w:tcBorders>
            <w:vAlign w:val="center"/>
          </w:tcPr>
          <w:p w14:paraId="3D1DDFFA" w14:textId="77777777" w:rsidR="00303C47" w:rsidRPr="00B60938" w:rsidRDefault="00303C47" w:rsidP="00313F11">
            <w:pPr>
              <w:jc w:val="center"/>
            </w:pPr>
          </w:p>
        </w:tc>
        <w:tc>
          <w:tcPr>
            <w:tcW w:w="350" w:type="dxa"/>
            <w:tcBorders>
              <w:bottom w:val="single" w:sz="4" w:space="0" w:color="auto"/>
            </w:tcBorders>
            <w:vAlign w:val="center"/>
          </w:tcPr>
          <w:p w14:paraId="3E2656F5" w14:textId="77777777" w:rsidR="00303C47" w:rsidRPr="00B60938" w:rsidRDefault="00303C47" w:rsidP="00313F11">
            <w:pPr>
              <w:jc w:val="center"/>
              <w:rPr>
                <w:bCs/>
              </w:rPr>
            </w:pPr>
          </w:p>
        </w:tc>
        <w:tc>
          <w:tcPr>
            <w:tcW w:w="620" w:type="dxa"/>
            <w:tcBorders>
              <w:bottom w:val="single" w:sz="4" w:space="0" w:color="auto"/>
              <w:right w:val="single" w:sz="4" w:space="0" w:color="auto"/>
            </w:tcBorders>
            <w:vAlign w:val="center"/>
          </w:tcPr>
          <w:p w14:paraId="5FE2C660" w14:textId="77777777" w:rsidR="00303C47" w:rsidRPr="00B60938" w:rsidRDefault="00303C47" w:rsidP="00313F11">
            <w:pPr>
              <w:jc w:val="center"/>
              <w:rPr>
                <w:bCs/>
              </w:rPr>
            </w:pPr>
          </w:p>
        </w:tc>
        <w:tc>
          <w:tcPr>
            <w:tcW w:w="1364" w:type="dxa"/>
            <w:tcBorders>
              <w:left w:val="single" w:sz="4" w:space="0" w:color="auto"/>
              <w:bottom w:val="single" w:sz="4" w:space="0" w:color="auto"/>
            </w:tcBorders>
            <w:vAlign w:val="center"/>
          </w:tcPr>
          <w:p w14:paraId="19E134C2" w14:textId="77777777" w:rsidR="00303C47" w:rsidRPr="00B60938" w:rsidRDefault="00303C47" w:rsidP="00313F11">
            <w:pPr>
              <w:jc w:val="center"/>
              <w:rPr>
                <w:bCs/>
              </w:rPr>
            </w:pPr>
            <w:r w:rsidRPr="00B60938">
              <w:rPr>
                <w:b/>
                <w:bCs/>
              </w:rPr>
              <w:t>28</w:t>
            </w:r>
          </w:p>
        </w:tc>
        <w:tc>
          <w:tcPr>
            <w:tcW w:w="1536" w:type="dxa"/>
            <w:vMerge/>
            <w:tcBorders>
              <w:bottom w:val="single" w:sz="4" w:space="0" w:color="auto"/>
            </w:tcBorders>
            <w:vAlign w:val="center"/>
          </w:tcPr>
          <w:p w14:paraId="6FB1AED2" w14:textId="77777777" w:rsidR="00303C47" w:rsidRPr="00B60938" w:rsidRDefault="00303C47" w:rsidP="00313F11">
            <w:pPr>
              <w:jc w:val="center"/>
              <w:rPr>
                <w:bCs/>
              </w:rPr>
            </w:pPr>
          </w:p>
        </w:tc>
        <w:tc>
          <w:tcPr>
            <w:tcW w:w="563" w:type="dxa"/>
            <w:tcBorders>
              <w:bottom w:val="single" w:sz="4" w:space="0" w:color="auto"/>
            </w:tcBorders>
            <w:vAlign w:val="center"/>
          </w:tcPr>
          <w:p w14:paraId="0E8C9EE9" w14:textId="77777777" w:rsidR="00303C47" w:rsidRPr="00B60938" w:rsidRDefault="00303C47" w:rsidP="00313F11">
            <w:pPr>
              <w:jc w:val="center"/>
              <w:rPr>
                <w:bCs/>
              </w:rPr>
            </w:pPr>
            <w:r w:rsidRPr="00B60938">
              <w:rPr>
                <w:bCs/>
              </w:rPr>
              <w:t>S</w:t>
            </w:r>
          </w:p>
        </w:tc>
        <w:tc>
          <w:tcPr>
            <w:tcW w:w="350" w:type="dxa"/>
            <w:tcBorders>
              <w:bottom w:val="single" w:sz="4" w:space="0" w:color="auto"/>
            </w:tcBorders>
            <w:vAlign w:val="center"/>
          </w:tcPr>
          <w:p w14:paraId="43B9046C" w14:textId="77777777" w:rsidR="00303C47" w:rsidRPr="00B60938" w:rsidRDefault="00303C47" w:rsidP="00313F11">
            <w:pPr>
              <w:jc w:val="center"/>
              <w:rPr>
                <w:bCs/>
              </w:rPr>
            </w:pPr>
            <w:r w:rsidRPr="00B60938">
              <w:rPr>
                <w:bCs/>
              </w:rPr>
              <w:t>0</w:t>
            </w:r>
          </w:p>
        </w:tc>
        <w:tc>
          <w:tcPr>
            <w:tcW w:w="620" w:type="dxa"/>
            <w:tcBorders>
              <w:bottom w:val="single" w:sz="4" w:space="0" w:color="auto"/>
            </w:tcBorders>
            <w:vAlign w:val="center"/>
          </w:tcPr>
          <w:p w14:paraId="2BEB6A6B" w14:textId="77777777" w:rsidR="00303C47" w:rsidRPr="00B60938" w:rsidRDefault="00303C47" w:rsidP="00313F11">
            <w:pPr>
              <w:jc w:val="center"/>
              <w:rPr>
                <w:bCs/>
              </w:rPr>
            </w:pPr>
            <w:r w:rsidRPr="00B60938">
              <w:rPr>
                <w:bCs/>
              </w:rPr>
              <w:t>H</w:t>
            </w:r>
          </w:p>
        </w:tc>
      </w:tr>
    </w:tbl>
    <w:p w14:paraId="1AC0C905" w14:textId="77777777" w:rsidR="00303C47" w:rsidRPr="00B60938" w:rsidRDefault="00303C47" w:rsidP="00313F11">
      <w:pPr>
        <w:pStyle w:val="TAMainText"/>
        <w:jc w:val="center"/>
        <w:rPr>
          <w:bCs/>
        </w:rPr>
      </w:pPr>
    </w:p>
    <w:p w14:paraId="70EC827B" w14:textId="77777777" w:rsidR="00303C47" w:rsidRPr="00B60938" w:rsidRDefault="00303C47" w:rsidP="00313F11">
      <w:pPr>
        <w:pStyle w:val="TAMainText"/>
        <w:jc w:val="center"/>
        <w:rPr>
          <w:bCs/>
        </w:rPr>
      </w:pPr>
    </w:p>
    <w:p w14:paraId="3C56A0D5" w14:textId="77777777" w:rsidR="00303C47" w:rsidRPr="00B60938" w:rsidRDefault="00303C47" w:rsidP="00313F11">
      <w:pPr>
        <w:pStyle w:val="TAMainText"/>
        <w:jc w:val="center"/>
        <w:rPr>
          <w:bCs/>
        </w:rPr>
      </w:pPr>
    </w:p>
    <w:p w14:paraId="501F57DF" w14:textId="77777777" w:rsidR="00303C47" w:rsidRPr="00B60938" w:rsidRDefault="00303C47" w:rsidP="00313F11">
      <w:pPr>
        <w:pStyle w:val="TAMainText"/>
        <w:jc w:val="center"/>
        <w:rPr>
          <w:bCs/>
        </w:rPr>
      </w:pPr>
    </w:p>
    <w:p w14:paraId="049FA610" w14:textId="77777777" w:rsidR="00B94BEC" w:rsidRDefault="00B94BEC" w:rsidP="00CB7B52">
      <w:pPr>
        <w:pStyle w:val="TAMainText"/>
        <w:rPr>
          <w:bCs/>
        </w:rPr>
      </w:pPr>
    </w:p>
    <w:p w14:paraId="7BB274C6" w14:textId="77777777" w:rsidR="00B94BEC" w:rsidRDefault="00B94BEC" w:rsidP="00CB7B52">
      <w:pPr>
        <w:pStyle w:val="TAMainText"/>
        <w:rPr>
          <w:bCs/>
        </w:rPr>
      </w:pPr>
    </w:p>
    <w:p w14:paraId="0836BC48" w14:textId="77777777" w:rsidR="00B94BEC" w:rsidRDefault="00B94BEC" w:rsidP="00CB7B52">
      <w:pPr>
        <w:pStyle w:val="TAMainText"/>
        <w:rPr>
          <w:bCs/>
        </w:rPr>
      </w:pPr>
    </w:p>
    <w:p w14:paraId="36E1BC72" w14:textId="77777777" w:rsidR="00B94BEC" w:rsidRDefault="00B94BEC" w:rsidP="00CB7B52">
      <w:pPr>
        <w:pStyle w:val="TAMainText"/>
        <w:rPr>
          <w:bCs/>
        </w:rPr>
      </w:pPr>
    </w:p>
    <w:p w14:paraId="0D07344A" w14:textId="77777777" w:rsidR="00B94BEC" w:rsidRDefault="00B94BEC" w:rsidP="00CB7B52">
      <w:pPr>
        <w:pStyle w:val="TAMainText"/>
        <w:rPr>
          <w:bCs/>
        </w:rPr>
      </w:pPr>
    </w:p>
    <w:p w14:paraId="686DAA4F" w14:textId="77777777" w:rsidR="00B94BEC" w:rsidRDefault="00B94BEC" w:rsidP="00CB7B52">
      <w:pPr>
        <w:pStyle w:val="TAMainText"/>
        <w:rPr>
          <w:bCs/>
        </w:rPr>
      </w:pPr>
    </w:p>
    <w:p w14:paraId="46240F05" w14:textId="195025A2" w:rsidR="00303C47" w:rsidRPr="00B60938" w:rsidDel="00FC1E7A" w:rsidRDefault="00303C47" w:rsidP="00CB7B52">
      <w:pPr>
        <w:pStyle w:val="TAMainText"/>
        <w:rPr>
          <w:bCs/>
        </w:rPr>
      </w:pPr>
      <w:r w:rsidRPr="00B60938">
        <w:rPr>
          <w:bCs/>
        </w:rPr>
        <w:lastRenderedPageBreak/>
        <w:t xml:space="preserve">The same strategy was followed for the benzimidazole </w:t>
      </w:r>
      <w:r w:rsidRPr="00B60938">
        <w:rPr>
          <w:b/>
          <w:bCs/>
        </w:rPr>
        <w:t>26</w:t>
      </w:r>
      <w:r w:rsidRPr="00B60938">
        <w:rPr>
          <w:bCs/>
        </w:rPr>
        <w:t xml:space="preserve"> and benzothiazole </w:t>
      </w:r>
      <w:r w:rsidRPr="00B60938">
        <w:rPr>
          <w:b/>
          <w:bCs/>
        </w:rPr>
        <w:t>27</w:t>
      </w:r>
      <w:r w:rsidRPr="00B60938">
        <w:rPr>
          <w:bCs/>
        </w:rPr>
        <w:t xml:space="preserve"> and </w:t>
      </w:r>
      <w:r w:rsidRPr="00B60938">
        <w:rPr>
          <w:b/>
          <w:bCs/>
        </w:rPr>
        <w:t>28</w:t>
      </w:r>
      <w:r w:rsidRPr="00B60938">
        <w:rPr>
          <w:bCs/>
        </w:rPr>
        <w:t xml:space="preserve"> derivatives; compound </w:t>
      </w:r>
      <w:r w:rsidRPr="00B60938">
        <w:rPr>
          <w:b/>
          <w:bCs/>
        </w:rPr>
        <w:t>26</w:t>
      </w:r>
      <w:r w:rsidRPr="00B60938">
        <w:rPr>
          <w:bCs/>
        </w:rPr>
        <w:t xml:space="preserve"> is mimetic of </w:t>
      </w:r>
      <w:r w:rsidRPr="00B60938">
        <w:rPr>
          <w:b/>
          <w:bCs/>
        </w:rPr>
        <w:t xml:space="preserve">6 </w:t>
      </w:r>
      <w:r w:rsidRPr="00B60938">
        <w:rPr>
          <w:bCs/>
        </w:rPr>
        <w:t xml:space="preserve">(zoledronic acid), and the presence of condensed aromatic ring would increase the molecule lipophilicity, a crucial determinant of BPs anti-resorptive activity. To gain a deeper understanding of the isosteric modification effects, the NH group was replaced by a sulfur atom obtaining the benzothiazole </w:t>
      </w:r>
      <w:r w:rsidRPr="00B60938">
        <w:rPr>
          <w:b/>
          <w:bCs/>
        </w:rPr>
        <w:t>27</w:t>
      </w:r>
      <w:r w:rsidRPr="00B60938">
        <w:rPr>
          <w:bCs/>
        </w:rPr>
        <w:t xml:space="preserve"> and </w:t>
      </w:r>
      <w:r w:rsidRPr="00B60938">
        <w:rPr>
          <w:b/>
          <w:bCs/>
        </w:rPr>
        <w:t>28</w:t>
      </w:r>
      <w:r w:rsidRPr="00B60938">
        <w:rPr>
          <w:bCs/>
        </w:rPr>
        <w:t xml:space="preserve">. </w:t>
      </w:r>
    </w:p>
    <w:p w14:paraId="70610C0E" w14:textId="77777777" w:rsidR="00303C47" w:rsidRPr="00B60938" w:rsidRDefault="00303C47" w:rsidP="00CB7B52">
      <w:pPr>
        <w:pStyle w:val="TAMainText"/>
        <w:rPr>
          <w:bCs/>
        </w:rPr>
      </w:pPr>
      <w:r w:rsidRPr="00B60938">
        <w:rPr>
          <w:bCs/>
        </w:rPr>
        <w:t xml:space="preserve">To investigate the lipophilic effect on the pyrimidine scaffold, compounds </w:t>
      </w:r>
      <w:r w:rsidRPr="00B60938">
        <w:rPr>
          <w:b/>
          <w:bCs/>
        </w:rPr>
        <w:t>14</w:t>
      </w:r>
      <w:r w:rsidRPr="00B60938">
        <w:rPr>
          <w:bCs/>
        </w:rPr>
        <w:t>-</w:t>
      </w:r>
      <w:r w:rsidRPr="00B60938">
        <w:rPr>
          <w:b/>
          <w:bCs/>
        </w:rPr>
        <w:t>18</w:t>
      </w:r>
      <w:r w:rsidRPr="00B60938">
        <w:rPr>
          <w:bCs/>
        </w:rPr>
        <w:t xml:space="preserve"> containing a quinazoline ring and their regioisomers </w:t>
      </w:r>
      <w:r w:rsidRPr="00B60938">
        <w:rPr>
          <w:b/>
          <w:bCs/>
        </w:rPr>
        <w:t>19</w:t>
      </w:r>
      <w:r w:rsidRPr="00B60938">
        <w:rPr>
          <w:bCs/>
        </w:rPr>
        <w:t>-</w:t>
      </w:r>
      <w:r w:rsidRPr="00B60938">
        <w:rPr>
          <w:b/>
          <w:bCs/>
        </w:rPr>
        <w:t>23</w:t>
      </w:r>
      <w:r w:rsidRPr="00B60938">
        <w:rPr>
          <w:bCs/>
        </w:rPr>
        <w:t xml:space="preserve"> were designed.</w:t>
      </w:r>
    </w:p>
    <w:p w14:paraId="56185BBD" w14:textId="79DBDB25" w:rsidR="00303C47" w:rsidRPr="00B60938" w:rsidRDefault="00303C47">
      <w:pPr>
        <w:pStyle w:val="TAMainText"/>
        <w:rPr>
          <w:bCs/>
        </w:rPr>
      </w:pPr>
      <w:r w:rsidRPr="00B60938">
        <w:rPr>
          <w:bCs/>
        </w:rPr>
        <w:t xml:space="preserve">Finally, compounds </w:t>
      </w:r>
      <w:r w:rsidRPr="00B60938">
        <w:rPr>
          <w:b/>
          <w:bCs/>
        </w:rPr>
        <w:t>24</w:t>
      </w:r>
      <w:r w:rsidRPr="00B60938">
        <w:rPr>
          <w:bCs/>
        </w:rPr>
        <w:t xml:space="preserve"> and </w:t>
      </w:r>
      <w:r w:rsidRPr="00B60938">
        <w:rPr>
          <w:b/>
          <w:bCs/>
        </w:rPr>
        <w:t xml:space="preserve">25 </w:t>
      </w:r>
      <w:r w:rsidR="008C5F70">
        <w:rPr>
          <w:bCs/>
        </w:rPr>
        <w:t>(Fig.</w:t>
      </w:r>
      <w:r w:rsidRPr="00B60938">
        <w:rPr>
          <w:bCs/>
        </w:rPr>
        <w:t xml:space="preserve"> 2)</w:t>
      </w:r>
      <w:r w:rsidRPr="00B60938">
        <w:rPr>
          <w:b/>
          <w:bCs/>
        </w:rPr>
        <w:t xml:space="preserve"> </w:t>
      </w:r>
      <w:r w:rsidRPr="00B60938">
        <w:rPr>
          <w:bCs/>
        </w:rPr>
        <w:t>were projected to evaluate the steric and electronic effects of an additional phenyl ring in position 2 on quinazolin-4-yl nucleus.</w:t>
      </w:r>
    </w:p>
    <w:p w14:paraId="7F8435CD" w14:textId="153A667C" w:rsidR="00303C47" w:rsidRPr="00913BF7" w:rsidRDefault="00303C47">
      <w:pPr>
        <w:pStyle w:val="Nessunaspaziatura"/>
        <w:spacing w:line="480" w:lineRule="auto"/>
        <w:jc w:val="both"/>
        <w:rPr>
          <w:rFonts w:ascii="Times New Roman" w:hAnsi="Times New Roman"/>
          <w:bCs/>
          <w:lang w:val="en-US"/>
        </w:rPr>
      </w:pPr>
      <w:r w:rsidRPr="00B60938">
        <w:rPr>
          <w:rFonts w:ascii="Times New Roman" w:hAnsi="Times New Roman"/>
          <w:bCs/>
          <w:lang w:val="en-US"/>
        </w:rPr>
        <w:t xml:space="preserve">Then, a suitable synthetic strategy was identified for all new </w:t>
      </w:r>
      <w:r w:rsidRPr="00B60938">
        <w:rPr>
          <w:rFonts w:ascii="Times New Roman" w:hAnsi="Times New Roman"/>
          <w:b/>
          <w:bCs/>
          <w:lang w:val="en-US"/>
        </w:rPr>
        <w:t>10-28</w:t>
      </w:r>
      <w:r w:rsidRPr="00B60938">
        <w:rPr>
          <w:rFonts w:ascii="Times New Roman" w:hAnsi="Times New Roman"/>
          <w:bCs/>
          <w:lang w:val="en-US"/>
        </w:rPr>
        <w:t xml:space="preserve"> BPs. The pure compounds were submitted to </w:t>
      </w:r>
      <w:r w:rsidRPr="00B60938">
        <w:rPr>
          <w:rFonts w:ascii="Times New Roman" w:hAnsi="Times New Roman"/>
          <w:bCs/>
          <w:i/>
          <w:lang w:val="en-US"/>
        </w:rPr>
        <w:t>h</w:t>
      </w:r>
      <w:r w:rsidRPr="00B60938">
        <w:rPr>
          <w:rFonts w:ascii="Times New Roman" w:hAnsi="Times New Roman"/>
          <w:bCs/>
          <w:lang w:val="en-US"/>
        </w:rPr>
        <w:t xml:space="preserve">FPPS and </w:t>
      </w:r>
      <w:r w:rsidRPr="00B60938">
        <w:rPr>
          <w:rFonts w:ascii="Times New Roman" w:hAnsi="Times New Roman"/>
          <w:bCs/>
          <w:i/>
          <w:lang w:val="en-US"/>
        </w:rPr>
        <w:t>h</w:t>
      </w:r>
      <w:r w:rsidRPr="00B60938">
        <w:rPr>
          <w:rFonts w:ascii="Times New Roman" w:hAnsi="Times New Roman"/>
          <w:bCs/>
          <w:lang w:val="en-US"/>
        </w:rPr>
        <w:t xml:space="preserve">GGPPS inhibition assays and were examined for their </w:t>
      </w:r>
      <w:r w:rsidRPr="00913BF7">
        <w:rPr>
          <w:rFonts w:ascii="Times New Roman" w:hAnsi="Times New Roman"/>
          <w:bCs/>
          <w:i/>
          <w:lang w:val="en-US"/>
        </w:rPr>
        <w:t>in vitro</w:t>
      </w:r>
      <w:r w:rsidRPr="00913BF7">
        <w:rPr>
          <w:rFonts w:ascii="Times New Roman" w:hAnsi="Times New Roman"/>
          <w:bCs/>
          <w:lang w:val="en-US"/>
        </w:rPr>
        <w:t xml:space="preserve"> effect on the viability of PC3 human prostate cancer cell line, MG63 human osteosarcoma cell line, osteoclasts like murine cell lines J774A.1 and RAW 264.7, osteoblasts like murine MC3T3-E1 cells and </w:t>
      </w:r>
      <w:r w:rsidRPr="00913BF7">
        <w:rPr>
          <w:rFonts w:ascii="Times New Roman" w:hAnsi="Times New Roman"/>
          <w:bCs/>
          <w:i/>
          <w:lang w:val="en-US"/>
        </w:rPr>
        <w:t>ex-vivo</w:t>
      </w:r>
      <w:r w:rsidRPr="00913BF7">
        <w:rPr>
          <w:rFonts w:ascii="Times New Roman" w:hAnsi="Times New Roman"/>
          <w:bCs/>
          <w:lang w:val="en-US"/>
        </w:rPr>
        <w:t xml:space="preserve"> murine bone marrow cells. The affinity for hydroxyapatite and the capability of these new drugs to induce </w:t>
      </w:r>
      <w:r w:rsidRPr="00913BF7">
        <w:rPr>
          <w:rFonts w:ascii="Times New Roman" w:hAnsi="Times New Roman"/>
          <w:bCs/>
          <w:i/>
          <w:lang w:val="en-US"/>
        </w:rPr>
        <w:t>in vitro</w:t>
      </w:r>
      <w:r w:rsidRPr="00913BF7">
        <w:rPr>
          <w:rFonts w:ascii="Times New Roman" w:hAnsi="Times New Roman"/>
          <w:bCs/>
          <w:lang w:val="en-US"/>
        </w:rPr>
        <w:t xml:space="preserve"> mineralization were also investigated.</w:t>
      </w:r>
      <w:r w:rsidR="00CF0DED" w:rsidRPr="00913BF7">
        <w:rPr>
          <w:rFonts w:ascii="Times New Roman" w:hAnsi="Times New Roman"/>
          <w:bCs/>
          <w:lang w:val="en-US"/>
        </w:rPr>
        <w:t xml:space="preserve"> Docking of some representative novel BPs into the active site of both </w:t>
      </w:r>
      <w:r w:rsidR="00CF0DED" w:rsidRPr="00B60938">
        <w:rPr>
          <w:rFonts w:ascii="Times New Roman" w:hAnsi="Times New Roman"/>
          <w:bCs/>
          <w:i/>
          <w:lang w:val="en-US"/>
        </w:rPr>
        <w:t>h</w:t>
      </w:r>
      <w:r w:rsidR="00CF0DED" w:rsidRPr="00B60938">
        <w:rPr>
          <w:rFonts w:ascii="Times New Roman" w:hAnsi="Times New Roman"/>
          <w:bCs/>
          <w:lang w:val="en-US"/>
        </w:rPr>
        <w:t xml:space="preserve">FPPS and </w:t>
      </w:r>
      <w:r w:rsidR="00CF0DED" w:rsidRPr="00913BF7">
        <w:rPr>
          <w:rFonts w:ascii="Times New Roman" w:hAnsi="Times New Roman"/>
          <w:bCs/>
          <w:i/>
          <w:lang w:val="en-US"/>
        </w:rPr>
        <w:t>h</w:t>
      </w:r>
      <w:r w:rsidR="00CF0DED" w:rsidRPr="00913BF7">
        <w:rPr>
          <w:rFonts w:ascii="Times New Roman" w:hAnsi="Times New Roman"/>
          <w:bCs/>
          <w:lang w:val="en-US"/>
        </w:rPr>
        <w:t xml:space="preserve">GGPPS was also </w:t>
      </w:r>
      <w:r w:rsidR="008C5F70" w:rsidRPr="008C5F70">
        <w:rPr>
          <w:rFonts w:ascii="Times New Roman" w:hAnsi="Times New Roman"/>
          <w:bCs/>
          <w:lang w:val="en-US"/>
        </w:rPr>
        <w:t>carried out</w:t>
      </w:r>
      <w:r w:rsidR="00CF0DED" w:rsidRPr="00913BF7">
        <w:rPr>
          <w:rFonts w:ascii="Times New Roman" w:hAnsi="Times New Roman"/>
          <w:bCs/>
          <w:lang w:val="en-US"/>
        </w:rPr>
        <w:t>.</w:t>
      </w:r>
    </w:p>
    <w:p w14:paraId="0E10F901" w14:textId="77777777" w:rsidR="00303C47" w:rsidRPr="00B60938" w:rsidRDefault="00303C47">
      <w:pPr>
        <w:pStyle w:val="TAMainText"/>
        <w:rPr>
          <w:bCs/>
        </w:rPr>
      </w:pPr>
    </w:p>
    <w:p w14:paraId="3C2D54D5" w14:textId="77777777" w:rsidR="00303C47" w:rsidRPr="00B60938" w:rsidRDefault="00303C47">
      <w:pPr>
        <w:pStyle w:val="TAMainText"/>
        <w:outlineLvl w:val="0"/>
        <w:rPr>
          <w:b/>
          <w:szCs w:val="24"/>
        </w:rPr>
      </w:pPr>
      <w:r w:rsidRPr="00B60938">
        <w:rPr>
          <w:b/>
          <w:szCs w:val="24"/>
        </w:rPr>
        <w:t>2.2 Chemistry</w:t>
      </w:r>
    </w:p>
    <w:p w14:paraId="321C556F" w14:textId="2FED92F9" w:rsidR="00303C47" w:rsidRPr="00B60938" w:rsidRDefault="00303C47">
      <w:pPr>
        <w:pStyle w:val="TAMainText"/>
        <w:rPr>
          <w:rFonts w:ascii="Times New Roman" w:hAnsi="Times New Roman"/>
          <w:szCs w:val="24"/>
        </w:rPr>
      </w:pPr>
      <w:r w:rsidRPr="00B60938">
        <w:rPr>
          <w:szCs w:val="24"/>
        </w:rPr>
        <w:t xml:space="preserve">The synthetic strategy used to prepare </w:t>
      </w:r>
      <w:r w:rsidR="00EA0C47" w:rsidRPr="00B60938">
        <w:rPr>
          <w:szCs w:val="24"/>
        </w:rPr>
        <w:t xml:space="preserve">the </w:t>
      </w:r>
      <w:r w:rsidRPr="00B60938">
        <w:rPr>
          <w:szCs w:val="24"/>
        </w:rPr>
        <w:t xml:space="preserve">arylamino bisphosphonic acids </w:t>
      </w:r>
      <w:r w:rsidRPr="00B60938">
        <w:rPr>
          <w:b/>
          <w:szCs w:val="24"/>
        </w:rPr>
        <w:t>10</w:t>
      </w:r>
      <w:r w:rsidRPr="00B60938">
        <w:rPr>
          <w:szCs w:val="24"/>
        </w:rPr>
        <w:t>-</w:t>
      </w:r>
      <w:r w:rsidRPr="00B60938">
        <w:rPr>
          <w:b/>
          <w:szCs w:val="24"/>
        </w:rPr>
        <w:t xml:space="preserve">25 </w:t>
      </w:r>
      <w:r w:rsidRPr="00B60938">
        <w:rPr>
          <w:szCs w:val="24"/>
        </w:rPr>
        <w:t xml:space="preserve">is depicted in Scheme 1. </w:t>
      </w:r>
      <w:commentRangeStart w:id="1"/>
      <w:r w:rsidRPr="00B60938">
        <w:rPr>
          <w:szCs w:val="24"/>
        </w:rPr>
        <w:t>In</w:t>
      </w:r>
      <w:commentRangeEnd w:id="1"/>
      <w:r w:rsidR="002E375E">
        <w:rPr>
          <w:rStyle w:val="Rimandocommento"/>
        </w:rPr>
        <w:commentReference w:id="1"/>
      </w:r>
      <w:r w:rsidRPr="00B60938">
        <w:rPr>
          <w:szCs w:val="24"/>
        </w:rPr>
        <w:t xml:space="preserve"> particular, </w:t>
      </w:r>
      <w:r w:rsidRPr="00B60938">
        <w:rPr>
          <w:i/>
          <w:szCs w:val="24"/>
        </w:rPr>
        <w:t>N</w:t>
      </w:r>
      <w:r w:rsidRPr="00B60938">
        <w:rPr>
          <w:szCs w:val="24"/>
        </w:rPr>
        <w:t>-</w:t>
      </w:r>
      <w:r w:rsidRPr="00B60938">
        <w:t>phthaloylglycine (</w:t>
      </w:r>
      <w:r w:rsidRPr="00B60938">
        <w:rPr>
          <w:b/>
        </w:rPr>
        <w:t>B</w:t>
      </w:r>
      <w:r w:rsidRPr="00B60938">
        <w:rPr>
          <w:b/>
          <w:vertAlign w:val="subscript"/>
        </w:rPr>
        <w:t>1</w:t>
      </w:r>
      <w:r w:rsidRPr="00B60938">
        <w:t xml:space="preserve">) and </w:t>
      </w:r>
      <w:r w:rsidRPr="00B60938">
        <w:rPr>
          <w:i/>
          <w:szCs w:val="24"/>
        </w:rPr>
        <w:t>N</w:t>
      </w:r>
      <w:r w:rsidRPr="00B60938">
        <w:rPr>
          <w:szCs w:val="24"/>
        </w:rPr>
        <w:t>-</w:t>
      </w:r>
      <w:r w:rsidRPr="00B60938">
        <w:t>phthaloylalanine (</w:t>
      </w:r>
      <w:r w:rsidRPr="00B60938">
        <w:rPr>
          <w:b/>
        </w:rPr>
        <w:t>B</w:t>
      </w:r>
      <w:r w:rsidRPr="00B60938">
        <w:rPr>
          <w:b/>
          <w:vertAlign w:val="subscript"/>
        </w:rPr>
        <w:t>5</w:t>
      </w:r>
      <w:r w:rsidRPr="00B60938">
        <w:t>) were commercially available,</w:t>
      </w:r>
      <w:r w:rsidRPr="00B60938">
        <w:rPr>
          <w:i/>
          <w:szCs w:val="24"/>
        </w:rPr>
        <w:t xml:space="preserve"> </w:t>
      </w:r>
      <w:r w:rsidRPr="00B60938">
        <w:t>whereas</w:t>
      </w:r>
      <w:r w:rsidRPr="00B60938">
        <w:rPr>
          <w:i/>
          <w:szCs w:val="24"/>
        </w:rPr>
        <w:t xml:space="preserve"> N</w:t>
      </w:r>
      <w:r w:rsidRPr="00B60938">
        <w:rPr>
          <w:szCs w:val="24"/>
        </w:rPr>
        <w:t xml:space="preserve">-phthaloylamino acids </w:t>
      </w:r>
      <w:r w:rsidRPr="00B60938">
        <w:rPr>
          <w:b/>
          <w:szCs w:val="24"/>
        </w:rPr>
        <w:t>B</w:t>
      </w:r>
      <w:r w:rsidRPr="00B60938">
        <w:rPr>
          <w:b/>
          <w:szCs w:val="24"/>
          <w:vertAlign w:val="subscript"/>
        </w:rPr>
        <w:t>2</w:t>
      </w:r>
      <w:r w:rsidRPr="00B60938">
        <w:rPr>
          <w:szCs w:val="24"/>
        </w:rPr>
        <w:t>-</w:t>
      </w:r>
      <w:r w:rsidRPr="00B60938">
        <w:rPr>
          <w:b/>
          <w:szCs w:val="24"/>
        </w:rPr>
        <w:t>B</w:t>
      </w:r>
      <w:r w:rsidRPr="00B60938">
        <w:rPr>
          <w:b/>
          <w:szCs w:val="24"/>
          <w:vertAlign w:val="subscript"/>
        </w:rPr>
        <w:t>4</w:t>
      </w:r>
      <w:r w:rsidRPr="00B60938">
        <w:rPr>
          <w:szCs w:val="24"/>
        </w:rPr>
        <w:t xml:space="preserve"> were synthesized by reacting the aminoacids </w:t>
      </w:r>
      <w:r w:rsidRPr="00B60938">
        <w:rPr>
          <w:b/>
          <w:szCs w:val="24"/>
        </w:rPr>
        <w:t>A</w:t>
      </w:r>
      <w:r w:rsidRPr="00B60938">
        <w:rPr>
          <w:b/>
          <w:szCs w:val="24"/>
          <w:vertAlign w:val="subscript"/>
        </w:rPr>
        <w:t>1</w:t>
      </w:r>
      <w:r w:rsidRPr="00B60938">
        <w:rPr>
          <w:szCs w:val="24"/>
        </w:rPr>
        <w:t>-</w:t>
      </w:r>
      <w:r w:rsidRPr="00B60938">
        <w:rPr>
          <w:b/>
          <w:szCs w:val="24"/>
        </w:rPr>
        <w:t>A</w:t>
      </w:r>
      <w:r w:rsidRPr="00B60938">
        <w:rPr>
          <w:b/>
          <w:szCs w:val="24"/>
          <w:vertAlign w:val="subscript"/>
        </w:rPr>
        <w:t>3</w:t>
      </w:r>
      <w:r w:rsidRPr="00B60938">
        <w:rPr>
          <w:szCs w:val="24"/>
        </w:rPr>
        <w:t xml:space="preserve"> and</w:t>
      </w:r>
      <w:r w:rsidRPr="00B60938">
        <w:t xml:space="preserve"> phthalic anhydride. </w:t>
      </w:r>
      <w:r w:rsidRPr="00B60938">
        <w:rPr>
          <w:b/>
          <w:szCs w:val="24"/>
        </w:rPr>
        <w:t>B</w:t>
      </w:r>
      <w:r w:rsidRPr="00B60938">
        <w:rPr>
          <w:b/>
          <w:szCs w:val="24"/>
          <w:vertAlign w:val="subscript"/>
        </w:rPr>
        <w:t>1</w:t>
      </w:r>
      <w:r w:rsidRPr="00B60938">
        <w:rPr>
          <w:szCs w:val="24"/>
        </w:rPr>
        <w:t>-</w:t>
      </w:r>
      <w:r w:rsidRPr="00B60938">
        <w:rPr>
          <w:b/>
          <w:szCs w:val="24"/>
        </w:rPr>
        <w:t>B</w:t>
      </w:r>
      <w:r w:rsidRPr="00B60938">
        <w:rPr>
          <w:b/>
          <w:szCs w:val="24"/>
          <w:vertAlign w:val="subscript"/>
        </w:rPr>
        <w:t>5</w:t>
      </w:r>
      <w:r w:rsidRPr="00B60938">
        <w:rPr>
          <w:szCs w:val="24"/>
        </w:rPr>
        <w:t xml:space="preserve"> were converted into the corresponding acyl chlorides by thionyl chloride and used as reagents in a modified Arbuzov’s reaction</w:t>
      </w:r>
      <w:r w:rsidR="00B94BEC">
        <w:rPr>
          <w:szCs w:val="24"/>
        </w:rPr>
        <w:t xml:space="preserve"> </w:t>
      </w:r>
      <w:r w:rsidR="00B94BEC">
        <w:t>[42]</w:t>
      </w:r>
      <w:r w:rsidRPr="00B60938">
        <w:rPr>
          <w:szCs w:val="24"/>
        </w:rPr>
        <w:t>,</w:t>
      </w:r>
      <w:r w:rsidR="00E9677F" w:rsidRPr="00B94BEC">
        <w:rPr>
          <w:bCs/>
        </w:rPr>
        <w:t xml:space="preserve"> </w:t>
      </w:r>
      <w:r w:rsidRPr="00B60938">
        <w:rPr>
          <w:szCs w:val="24"/>
        </w:rPr>
        <w:t>in which the phosp</w:t>
      </w:r>
      <w:r w:rsidRPr="00913BF7">
        <w:rPr>
          <w:szCs w:val="24"/>
        </w:rPr>
        <w:t xml:space="preserve">horylating agent was the tris(trimethylsilyl)phosphite (step c, Scheme 1). The silyl esters of the geminal bisphosphonic acid intermediates were hydrolyzed to compounds </w:t>
      </w:r>
      <w:r w:rsidRPr="00913BF7">
        <w:rPr>
          <w:b/>
          <w:szCs w:val="24"/>
        </w:rPr>
        <w:t>C</w:t>
      </w:r>
      <w:r w:rsidRPr="00913BF7">
        <w:rPr>
          <w:b/>
          <w:szCs w:val="24"/>
          <w:vertAlign w:val="subscript"/>
        </w:rPr>
        <w:t>1</w:t>
      </w:r>
      <w:r w:rsidRPr="00913BF7">
        <w:rPr>
          <w:szCs w:val="24"/>
        </w:rPr>
        <w:t>-</w:t>
      </w:r>
      <w:r w:rsidRPr="00913BF7">
        <w:rPr>
          <w:b/>
          <w:szCs w:val="24"/>
        </w:rPr>
        <w:t>C</w:t>
      </w:r>
      <w:r w:rsidRPr="00913BF7">
        <w:rPr>
          <w:b/>
          <w:szCs w:val="24"/>
          <w:vertAlign w:val="subscript"/>
        </w:rPr>
        <w:t>5</w:t>
      </w:r>
      <w:r w:rsidRPr="00B60938">
        <w:rPr>
          <w:szCs w:val="24"/>
        </w:rPr>
        <w:t xml:space="preserve">. Deprotection of the amine group, achieved by 12 N HCl at reflux, affords </w:t>
      </w:r>
      <w:r w:rsidRPr="00B60938">
        <w:rPr>
          <w:i/>
          <w:szCs w:val="24"/>
        </w:rPr>
        <w:t>N</w:t>
      </w:r>
      <w:r w:rsidRPr="00B60938">
        <w:rPr>
          <w:szCs w:val="24"/>
        </w:rPr>
        <w:t xml:space="preserve">-BPs </w:t>
      </w:r>
      <w:r w:rsidRPr="00B60938">
        <w:rPr>
          <w:b/>
          <w:szCs w:val="24"/>
        </w:rPr>
        <w:t>3</w:t>
      </w:r>
      <w:r w:rsidRPr="00B60938">
        <w:rPr>
          <w:szCs w:val="24"/>
        </w:rPr>
        <w:t xml:space="preserve">, </w:t>
      </w:r>
      <w:r w:rsidRPr="00B60938">
        <w:rPr>
          <w:b/>
          <w:szCs w:val="24"/>
        </w:rPr>
        <w:t>4</w:t>
      </w:r>
      <w:r w:rsidRPr="00B60938">
        <w:rPr>
          <w:szCs w:val="24"/>
        </w:rPr>
        <w:t xml:space="preserve">, </w:t>
      </w:r>
      <w:r w:rsidRPr="00B60938">
        <w:rPr>
          <w:b/>
          <w:szCs w:val="24"/>
        </w:rPr>
        <w:t>7</w:t>
      </w:r>
      <w:r w:rsidRPr="00B60938">
        <w:rPr>
          <w:szCs w:val="24"/>
        </w:rPr>
        <w:t>-</w:t>
      </w:r>
      <w:r w:rsidRPr="00B60938">
        <w:rPr>
          <w:b/>
          <w:szCs w:val="24"/>
        </w:rPr>
        <w:t>9</w:t>
      </w:r>
      <w:r w:rsidRPr="00B60938">
        <w:rPr>
          <w:szCs w:val="24"/>
        </w:rPr>
        <w:t xml:space="preserve">. Finally, arylamino bisphosphonic </w:t>
      </w:r>
      <w:r w:rsidRPr="00B60938">
        <w:rPr>
          <w:szCs w:val="24"/>
        </w:rPr>
        <w:lastRenderedPageBreak/>
        <w:t xml:space="preserve">acids </w:t>
      </w:r>
      <w:r w:rsidRPr="00B60938">
        <w:rPr>
          <w:b/>
          <w:szCs w:val="24"/>
        </w:rPr>
        <w:t>10</w:t>
      </w:r>
      <w:r w:rsidRPr="00B60938">
        <w:rPr>
          <w:szCs w:val="24"/>
        </w:rPr>
        <w:t>-</w:t>
      </w:r>
      <w:r w:rsidRPr="00B60938">
        <w:rPr>
          <w:b/>
          <w:szCs w:val="24"/>
        </w:rPr>
        <w:t>25</w:t>
      </w:r>
      <w:r w:rsidRPr="00B60938">
        <w:rPr>
          <w:szCs w:val="24"/>
        </w:rPr>
        <w:t xml:space="preserve"> were prepared through the amination reaction of the free amino group of the corresponding N-BPs and the appropriate heteroaromatic chlorides (2-chloropyrimidine, 2-chloroquinazoline, 4-chloroquinazoline and 4-chloro-2-phenylquinazoline). Such a reaction was performed in water and in the presence of K</w:t>
      </w:r>
      <w:r w:rsidRPr="00B60938">
        <w:rPr>
          <w:szCs w:val="24"/>
          <w:vertAlign w:val="subscript"/>
        </w:rPr>
        <w:t>2</w:t>
      </w:r>
      <w:r w:rsidRPr="00B60938">
        <w:rPr>
          <w:szCs w:val="24"/>
        </w:rPr>
        <w:t>CO</w:t>
      </w:r>
      <w:r w:rsidRPr="00B60938">
        <w:rPr>
          <w:szCs w:val="24"/>
          <w:vertAlign w:val="subscript"/>
        </w:rPr>
        <w:t>3</w:t>
      </w:r>
      <w:r w:rsidRPr="00B60938">
        <w:rPr>
          <w:szCs w:val="24"/>
        </w:rPr>
        <w:t xml:space="preserve">, the reaction temperature was modified from 90 to 180 °C, based on the reactivity of different starting compounds </w:t>
      </w:r>
      <w:r w:rsidRPr="00B60938">
        <w:rPr>
          <w:b/>
          <w:szCs w:val="24"/>
        </w:rPr>
        <w:t>3</w:t>
      </w:r>
      <w:r w:rsidRPr="00B60938">
        <w:rPr>
          <w:szCs w:val="24"/>
        </w:rPr>
        <w:t xml:space="preserve">, </w:t>
      </w:r>
      <w:r w:rsidRPr="00B60938">
        <w:rPr>
          <w:b/>
          <w:szCs w:val="24"/>
        </w:rPr>
        <w:t>4</w:t>
      </w:r>
      <w:r w:rsidRPr="00B60938">
        <w:rPr>
          <w:szCs w:val="24"/>
        </w:rPr>
        <w:t xml:space="preserve"> and </w:t>
      </w:r>
      <w:r w:rsidRPr="00B60938">
        <w:rPr>
          <w:b/>
          <w:szCs w:val="24"/>
        </w:rPr>
        <w:t>7</w:t>
      </w:r>
      <w:r w:rsidRPr="00B60938">
        <w:rPr>
          <w:szCs w:val="24"/>
        </w:rPr>
        <w:t>-</w:t>
      </w:r>
      <w:r w:rsidRPr="00B60938">
        <w:rPr>
          <w:b/>
          <w:szCs w:val="24"/>
        </w:rPr>
        <w:t>9</w:t>
      </w:r>
      <w:r w:rsidRPr="00B60938">
        <w:rPr>
          <w:szCs w:val="24"/>
        </w:rPr>
        <w:t xml:space="preserve"> (see Experimental section). The reaction progress was monitored using </w:t>
      </w:r>
      <w:r w:rsidRPr="00B60938">
        <w:rPr>
          <w:szCs w:val="24"/>
          <w:vertAlign w:val="superscript"/>
        </w:rPr>
        <w:t>31</w:t>
      </w:r>
      <w:r w:rsidRPr="00B60938">
        <w:rPr>
          <w:szCs w:val="24"/>
        </w:rPr>
        <w:t xml:space="preserve">P NMR, recorded on crude reaction mixture, by following the decreasing of the </w:t>
      </w:r>
      <w:r w:rsidRPr="00B60938">
        <w:rPr>
          <w:szCs w:val="24"/>
          <w:vertAlign w:val="superscript"/>
        </w:rPr>
        <w:t>31</w:t>
      </w:r>
      <w:r w:rsidRPr="00B60938">
        <w:rPr>
          <w:szCs w:val="24"/>
        </w:rPr>
        <w:t xml:space="preserve">P NMR signal of each starting N-BPs. After removal of the solvent by evaporation, </w:t>
      </w:r>
      <w:r w:rsidRPr="00B60938">
        <w:rPr>
          <w:rFonts w:ascii="Times New Roman" w:hAnsi="Times New Roman"/>
          <w:szCs w:val="24"/>
        </w:rPr>
        <w:t xml:space="preserve">pure </w:t>
      </w:r>
      <w:r w:rsidRPr="00B60938">
        <w:rPr>
          <w:b/>
          <w:szCs w:val="24"/>
        </w:rPr>
        <w:t>10</w:t>
      </w:r>
      <w:r w:rsidRPr="00B60938">
        <w:rPr>
          <w:szCs w:val="24"/>
        </w:rPr>
        <w:t>-</w:t>
      </w:r>
      <w:r w:rsidRPr="00B60938">
        <w:rPr>
          <w:b/>
          <w:szCs w:val="24"/>
        </w:rPr>
        <w:t>25</w:t>
      </w:r>
      <w:r w:rsidRPr="00B60938">
        <w:rPr>
          <w:rFonts w:ascii="Times New Roman" w:hAnsi="Times New Roman"/>
          <w:szCs w:val="24"/>
        </w:rPr>
        <w:t xml:space="preserve"> were obtained by washing the crude reaction residue with hot ethanol or chloroform, followed by a crystallization (0.4 N HCl) at 5 °C.</w:t>
      </w:r>
    </w:p>
    <w:p w14:paraId="040645F1" w14:textId="43BACD5D" w:rsidR="00303C47" w:rsidRPr="00B60938" w:rsidRDefault="00303C47">
      <w:pPr>
        <w:pStyle w:val="TAMainText"/>
      </w:pPr>
      <w:r w:rsidRPr="00B60938">
        <w:rPr>
          <w:rFonts w:eastAsia="Arial-BoldMT"/>
          <w:bCs/>
          <w:szCs w:val="24"/>
          <w:lang w:eastAsia="it-IT"/>
        </w:rPr>
        <w:t xml:space="preserve">The synthesis of benzoimidazole </w:t>
      </w:r>
      <w:r w:rsidRPr="00B60938">
        <w:rPr>
          <w:rFonts w:eastAsia="Arial-BoldMT"/>
          <w:b/>
          <w:bCs/>
          <w:szCs w:val="24"/>
          <w:lang w:eastAsia="it-IT"/>
        </w:rPr>
        <w:t>26</w:t>
      </w:r>
      <w:r w:rsidRPr="00B60938">
        <w:rPr>
          <w:rFonts w:eastAsia="Arial-BoldMT"/>
          <w:bCs/>
          <w:szCs w:val="24"/>
          <w:lang w:eastAsia="it-IT"/>
        </w:rPr>
        <w:t xml:space="preserve"> and benzothiazole-bisphosphonic acid derivatives </w:t>
      </w:r>
      <w:r w:rsidRPr="00B60938">
        <w:rPr>
          <w:rFonts w:eastAsia="Arial-BoldMT"/>
          <w:b/>
          <w:bCs/>
          <w:szCs w:val="24"/>
          <w:lang w:eastAsia="it-IT"/>
        </w:rPr>
        <w:t>27</w:t>
      </w:r>
      <w:r w:rsidRPr="00B60938">
        <w:rPr>
          <w:rFonts w:eastAsia="Arial-BoldMT"/>
          <w:bCs/>
          <w:szCs w:val="24"/>
          <w:lang w:eastAsia="it-IT"/>
        </w:rPr>
        <w:t xml:space="preserve"> and </w:t>
      </w:r>
      <w:r w:rsidRPr="00B60938">
        <w:rPr>
          <w:rFonts w:eastAsia="Arial-BoldMT"/>
          <w:b/>
          <w:bCs/>
          <w:szCs w:val="24"/>
          <w:lang w:eastAsia="it-IT"/>
        </w:rPr>
        <w:t>28</w:t>
      </w:r>
      <w:r w:rsidRPr="00B60938">
        <w:rPr>
          <w:rFonts w:eastAsia="Arial-BoldMT"/>
          <w:bCs/>
          <w:szCs w:val="24"/>
          <w:lang w:eastAsia="it-IT"/>
        </w:rPr>
        <w:t xml:space="preserve"> is reported in Scheme 2. Their synthesis started from the preparation of the precursors </w:t>
      </w:r>
      <w:r w:rsidRPr="00B60938">
        <w:rPr>
          <w:rFonts w:eastAsia="Arial-BoldMT"/>
          <w:b/>
          <w:bCs/>
          <w:szCs w:val="24"/>
          <w:lang w:eastAsia="it-IT"/>
        </w:rPr>
        <w:t>E</w:t>
      </w:r>
      <w:r w:rsidRPr="00B60938">
        <w:rPr>
          <w:rFonts w:eastAsia="Arial-BoldMT"/>
          <w:b/>
          <w:bCs/>
          <w:szCs w:val="24"/>
          <w:vertAlign w:val="subscript"/>
          <w:lang w:eastAsia="it-IT"/>
        </w:rPr>
        <w:t>1</w:t>
      </w:r>
      <w:r w:rsidRPr="00B60938">
        <w:rPr>
          <w:rFonts w:eastAsia="Arial-BoldMT"/>
          <w:bCs/>
          <w:szCs w:val="24"/>
          <w:lang w:eastAsia="it-IT"/>
        </w:rPr>
        <w:t xml:space="preserve"> and </w:t>
      </w:r>
      <w:r w:rsidRPr="00B60938">
        <w:rPr>
          <w:rFonts w:eastAsia="Arial-BoldMT"/>
          <w:b/>
          <w:bCs/>
          <w:szCs w:val="24"/>
          <w:lang w:eastAsia="it-IT"/>
        </w:rPr>
        <w:t>E</w:t>
      </w:r>
      <w:r w:rsidRPr="00B60938">
        <w:rPr>
          <w:rFonts w:eastAsia="Arial-BoldMT"/>
          <w:b/>
          <w:bCs/>
          <w:szCs w:val="24"/>
          <w:vertAlign w:val="subscript"/>
          <w:lang w:eastAsia="it-IT"/>
        </w:rPr>
        <w:t>4</w:t>
      </w:r>
      <w:r w:rsidRPr="00B60938">
        <w:rPr>
          <w:rFonts w:eastAsia="Arial-BoldMT"/>
          <w:bCs/>
          <w:szCs w:val="24"/>
          <w:lang w:eastAsia="it-IT"/>
        </w:rPr>
        <w:t xml:space="preserve">, performed through bromide nucleophilic substitution in bromoacetic acid by 2-mercaptobenzoimidazole and 2-mercaptobenzothiazole. 2-Aminobenzothiazole acid </w:t>
      </w:r>
      <w:r w:rsidRPr="00B60938">
        <w:rPr>
          <w:rFonts w:eastAsia="Arial-BoldMT"/>
          <w:b/>
          <w:bCs/>
          <w:szCs w:val="24"/>
          <w:lang w:eastAsia="it-IT"/>
        </w:rPr>
        <w:t>E</w:t>
      </w:r>
      <w:r w:rsidRPr="00B60938">
        <w:rPr>
          <w:rFonts w:eastAsia="Arial-BoldMT"/>
          <w:b/>
          <w:bCs/>
          <w:szCs w:val="24"/>
          <w:vertAlign w:val="subscript"/>
          <w:lang w:eastAsia="it-IT"/>
        </w:rPr>
        <w:t>3</w:t>
      </w:r>
      <w:r w:rsidRPr="00B60938">
        <w:rPr>
          <w:rFonts w:eastAsia="Arial-BoldMT"/>
          <w:bCs/>
          <w:szCs w:val="24"/>
          <w:lang w:eastAsia="it-IT"/>
        </w:rPr>
        <w:t xml:space="preserve"> was obtained by hydrolysis of its ethyl ester </w:t>
      </w:r>
      <w:r w:rsidRPr="00B60938">
        <w:rPr>
          <w:rFonts w:eastAsia="Arial-BoldMT"/>
          <w:b/>
          <w:bCs/>
          <w:szCs w:val="24"/>
          <w:lang w:eastAsia="it-IT"/>
        </w:rPr>
        <w:t>E</w:t>
      </w:r>
      <w:r w:rsidRPr="00B60938">
        <w:rPr>
          <w:rFonts w:eastAsia="Arial-BoldMT"/>
          <w:b/>
          <w:bCs/>
          <w:szCs w:val="24"/>
          <w:vertAlign w:val="subscript"/>
          <w:lang w:eastAsia="it-IT"/>
        </w:rPr>
        <w:t>2</w:t>
      </w:r>
      <w:r w:rsidRPr="00B60938">
        <w:rPr>
          <w:rFonts w:eastAsia="Arial-BoldMT"/>
          <w:bCs/>
          <w:szCs w:val="24"/>
          <w:lang w:eastAsia="it-IT"/>
        </w:rPr>
        <w:t xml:space="preserve">, in turn obtained by reacting 2-aminobenzothiazole and ethyl bromoacetate. The benzoimidazole- </w:t>
      </w:r>
      <w:r w:rsidRPr="00B60938">
        <w:rPr>
          <w:rFonts w:eastAsia="Arial-BoldMT"/>
          <w:b/>
          <w:bCs/>
          <w:szCs w:val="24"/>
          <w:lang w:eastAsia="it-IT"/>
        </w:rPr>
        <w:t>26</w:t>
      </w:r>
      <w:r w:rsidRPr="00B60938">
        <w:rPr>
          <w:rFonts w:eastAsia="Arial-BoldMT"/>
          <w:bCs/>
          <w:szCs w:val="24"/>
          <w:lang w:eastAsia="it-IT"/>
        </w:rPr>
        <w:t xml:space="preserve"> and benzothiazole- bisphosphonic acid </w:t>
      </w:r>
      <w:r w:rsidRPr="00B60938">
        <w:rPr>
          <w:rFonts w:eastAsia="Arial-BoldMT"/>
          <w:b/>
          <w:bCs/>
          <w:szCs w:val="24"/>
          <w:lang w:eastAsia="it-IT"/>
        </w:rPr>
        <w:t>27</w:t>
      </w:r>
      <w:r w:rsidRPr="00B60938">
        <w:rPr>
          <w:rFonts w:eastAsia="Arial-BoldMT"/>
          <w:bCs/>
          <w:szCs w:val="24"/>
          <w:lang w:eastAsia="it-IT"/>
        </w:rPr>
        <w:t xml:space="preserve"> and </w:t>
      </w:r>
      <w:r w:rsidRPr="00B60938">
        <w:rPr>
          <w:rFonts w:eastAsia="Arial-BoldMT"/>
          <w:b/>
          <w:bCs/>
          <w:szCs w:val="24"/>
          <w:lang w:eastAsia="it-IT"/>
        </w:rPr>
        <w:t>28</w:t>
      </w:r>
      <w:r w:rsidRPr="00B60938">
        <w:rPr>
          <w:rFonts w:eastAsia="Arial-BoldMT"/>
          <w:bCs/>
          <w:szCs w:val="24"/>
          <w:lang w:eastAsia="it-IT"/>
        </w:rPr>
        <w:t xml:space="preserve"> were prepared from the corresponding carboxylic acids by a mixture of phosphorous acid and phosphorus trichloride (</w:t>
      </w:r>
      <w:r w:rsidRPr="00B60938">
        <w:rPr>
          <w:szCs w:val="24"/>
        </w:rPr>
        <w:t>Michaelis−Arbuzov reaction)</w:t>
      </w:r>
      <w:r w:rsidR="00B94BEC">
        <w:rPr>
          <w:szCs w:val="24"/>
        </w:rPr>
        <w:t xml:space="preserve"> </w:t>
      </w:r>
      <w:r w:rsidR="00B94BEC">
        <w:t>[42]</w:t>
      </w:r>
      <w:r w:rsidRPr="00B60938">
        <w:rPr>
          <w:rFonts w:eastAsia="Arial-BoldMT"/>
          <w:bCs/>
          <w:szCs w:val="24"/>
          <w:lang w:eastAsia="it-IT"/>
        </w:rPr>
        <w:t xml:space="preserve">, then quenched with water. </w:t>
      </w:r>
      <w:r w:rsidRPr="00B60938">
        <w:rPr>
          <w:szCs w:val="24"/>
        </w:rPr>
        <w:t xml:space="preserve">The purification occurred by </w:t>
      </w:r>
      <w:r w:rsidRPr="00B60938">
        <w:t>treating the crude reaction mixtures with charcoal. The filtrates were kept at room temperature to obtain white crystals of pure products.</w:t>
      </w:r>
    </w:p>
    <w:p w14:paraId="7FB5CE04" w14:textId="77777777" w:rsidR="00303C47" w:rsidRPr="00913BF7" w:rsidRDefault="00303C47" w:rsidP="00313F11">
      <w:pPr>
        <w:pStyle w:val="TAMainText"/>
        <w:ind w:firstLine="0"/>
        <w:jc w:val="center"/>
        <w:rPr>
          <w:szCs w:val="24"/>
        </w:rPr>
      </w:pPr>
      <w:r w:rsidRPr="00913BF7">
        <w:rPr>
          <w:noProof/>
          <w:szCs w:val="24"/>
        </w:rPr>
        <w:lastRenderedPageBreak/>
        <w:drawing>
          <wp:inline distT="0" distB="0" distL="0" distR="0" wp14:anchorId="50B596C3" wp14:editId="41E45634">
            <wp:extent cx="5913505" cy="4455018"/>
            <wp:effectExtent l="0" t="0" r="5080" b="0"/>
            <wp:docPr id="1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13505" cy="4455018"/>
                    </a:xfrm>
                    <a:prstGeom prst="rect">
                      <a:avLst/>
                    </a:prstGeom>
                    <a:noFill/>
                    <a:ln>
                      <a:noFill/>
                    </a:ln>
                  </pic:spPr>
                </pic:pic>
              </a:graphicData>
            </a:graphic>
          </wp:inline>
        </w:drawing>
      </w:r>
    </w:p>
    <w:p w14:paraId="7CAD7ABE" w14:textId="77777777" w:rsidR="00303C47" w:rsidRPr="00192DB5" w:rsidRDefault="00303C47" w:rsidP="00E50862">
      <w:pPr>
        <w:pStyle w:val="TAMainText"/>
        <w:spacing w:line="276" w:lineRule="auto"/>
        <w:rPr>
          <w:sz w:val="20"/>
        </w:rPr>
      </w:pPr>
      <w:r w:rsidRPr="00192DB5">
        <w:rPr>
          <w:b/>
          <w:sz w:val="20"/>
        </w:rPr>
        <w:t xml:space="preserve">Scheme 1. </w:t>
      </w:r>
      <w:r w:rsidRPr="00192DB5">
        <w:rPr>
          <w:sz w:val="20"/>
        </w:rPr>
        <w:t>Synthesis of pyrimidine- and quinazoline-BPs. Reagents and conditions: a) phthalic anhydride, Et</w:t>
      </w:r>
      <w:r w:rsidRPr="00192DB5">
        <w:rPr>
          <w:sz w:val="20"/>
          <w:vertAlign w:val="subscript"/>
        </w:rPr>
        <w:t>3</w:t>
      </w:r>
      <w:r w:rsidRPr="00192DB5">
        <w:rPr>
          <w:sz w:val="20"/>
        </w:rPr>
        <w:t>N</w:t>
      </w:r>
      <w:r w:rsidRPr="00192DB5">
        <w:rPr>
          <w:sz w:val="20"/>
          <w:vertAlign w:val="subscript"/>
        </w:rPr>
        <w:t>(cat.)</w:t>
      </w:r>
      <w:r w:rsidRPr="00192DB5">
        <w:rPr>
          <w:sz w:val="20"/>
        </w:rPr>
        <w:t>, toluene, reflux, 5 h; b) thionyl chloride, reflux, 2h; c) tris(trimethylsilyl)phosphite, THF, 0 °C to r. t., 15 min–overnight; d) MeOH, r.t., 1h; e) 12 N HCl, reflux, 5.5-20 h; f) ArCl, K</w:t>
      </w:r>
      <w:r w:rsidRPr="00192DB5">
        <w:rPr>
          <w:sz w:val="20"/>
          <w:vertAlign w:val="subscript"/>
        </w:rPr>
        <w:t>2</w:t>
      </w:r>
      <w:r w:rsidRPr="00192DB5">
        <w:rPr>
          <w:sz w:val="20"/>
        </w:rPr>
        <w:t>CO</w:t>
      </w:r>
      <w:r w:rsidRPr="00192DB5">
        <w:rPr>
          <w:sz w:val="20"/>
          <w:vertAlign w:val="subscript"/>
        </w:rPr>
        <w:t>3</w:t>
      </w:r>
      <w:r w:rsidRPr="00192DB5">
        <w:rPr>
          <w:sz w:val="20"/>
        </w:rPr>
        <w:t>, H</w:t>
      </w:r>
      <w:r w:rsidRPr="00192DB5">
        <w:rPr>
          <w:sz w:val="20"/>
          <w:vertAlign w:val="subscript"/>
        </w:rPr>
        <w:t>2</w:t>
      </w:r>
      <w:r w:rsidRPr="00192DB5">
        <w:rPr>
          <w:sz w:val="20"/>
        </w:rPr>
        <w:t>O, 90-180 °C, 5h – 25 h.</w:t>
      </w:r>
    </w:p>
    <w:p w14:paraId="264ABEA4" w14:textId="77777777" w:rsidR="00303C47" w:rsidRDefault="00303C47" w:rsidP="009E4114">
      <w:pPr>
        <w:pStyle w:val="TAMainText"/>
        <w:spacing w:line="276" w:lineRule="auto"/>
      </w:pPr>
    </w:p>
    <w:p w14:paraId="2BFA2A44" w14:textId="77777777" w:rsidR="00913BF7" w:rsidRPr="00913BF7" w:rsidRDefault="00913BF7" w:rsidP="009E4114">
      <w:pPr>
        <w:pStyle w:val="TAMainText"/>
        <w:spacing w:line="276" w:lineRule="auto"/>
      </w:pPr>
    </w:p>
    <w:p w14:paraId="1C80578C" w14:textId="77777777" w:rsidR="00303C47" w:rsidRPr="00B60938" w:rsidRDefault="00303C47" w:rsidP="00BA1AC8">
      <w:pPr>
        <w:pStyle w:val="TAMainText"/>
        <w:spacing w:line="276" w:lineRule="auto"/>
      </w:pPr>
    </w:p>
    <w:p w14:paraId="02AB51A8" w14:textId="77777777" w:rsidR="00303C47" w:rsidRPr="00913BF7" w:rsidRDefault="00303C47" w:rsidP="00313F11">
      <w:pPr>
        <w:pStyle w:val="TAMainText"/>
        <w:spacing w:line="276" w:lineRule="auto"/>
        <w:jc w:val="center"/>
        <w:rPr>
          <w:szCs w:val="24"/>
        </w:rPr>
      </w:pPr>
      <w:r w:rsidRPr="00913BF7">
        <w:rPr>
          <w:noProof/>
          <w:szCs w:val="24"/>
        </w:rPr>
        <w:drawing>
          <wp:inline distT="0" distB="0" distL="0" distR="0" wp14:anchorId="10EAAF32" wp14:editId="164FCEAF">
            <wp:extent cx="4495800" cy="11176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95800" cy="1117600"/>
                    </a:xfrm>
                    <a:prstGeom prst="rect">
                      <a:avLst/>
                    </a:prstGeom>
                    <a:noFill/>
                    <a:ln>
                      <a:noFill/>
                    </a:ln>
                  </pic:spPr>
                </pic:pic>
              </a:graphicData>
            </a:graphic>
          </wp:inline>
        </w:drawing>
      </w:r>
    </w:p>
    <w:p w14:paraId="01684B90" w14:textId="77777777" w:rsidR="00303C47" w:rsidRPr="00B60938" w:rsidRDefault="00303C47" w:rsidP="00313F11">
      <w:pPr>
        <w:pStyle w:val="TAMainText"/>
        <w:spacing w:line="276" w:lineRule="auto"/>
        <w:jc w:val="center"/>
        <w:rPr>
          <w:szCs w:val="24"/>
        </w:rPr>
      </w:pPr>
    </w:p>
    <w:p w14:paraId="19278944" w14:textId="77777777" w:rsidR="00303C47" w:rsidRPr="00192DB5" w:rsidRDefault="00303C47" w:rsidP="00E50862">
      <w:pPr>
        <w:pStyle w:val="TAMainText"/>
        <w:spacing w:line="360" w:lineRule="auto"/>
        <w:ind w:firstLine="0"/>
        <w:rPr>
          <w:sz w:val="20"/>
        </w:rPr>
      </w:pPr>
      <w:r w:rsidRPr="00192DB5">
        <w:rPr>
          <w:b/>
          <w:sz w:val="20"/>
        </w:rPr>
        <w:t>Scheme 2.</w:t>
      </w:r>
      <w:r w:rsidRPr="00192DB5">
        <w:rPr>
          <w:sz w:val="20"/>
        </w:rPr>
        <w:t xml:space="preserve"> Synthesis of benzoimidazole- and benzothiazole-BPs. Reagents and conditions: a) 2-bromoacetic acid, KOH, EtOH, r.t., 3 h; or ethyl 2-bromo acetate, K</w:t>
      </w:r>
      <w:r w:rsidRPr="00192DB5">
        <w:rPr>
          <w:sz w:val="20"/>
          <w:vertAlign w:val="subscript"/>
        </w:rPr>
        <w:t>2</w:t>
      </w:r>
      <w:r w:rsidRPr="00192DB5">
        <w:rPr>
          <w:sz w:val="20"/>
        </w:rPr>
        <w:t>CO</w:t>
      </w:r>
      <w:r w:rsidRPr="00192DB5">
        <w:rPr>
          <w:sz w:val="20"/>
          <w:vertAlign w:val="subscript"/>
        </w:rPr>
        <w:t>3</w:t>
      </w:r>
      <w:r w:rsidRPr="00192DB5">
        <w:rPr>
          <w:sz w:val="20"/>
        </w:rPr>
        <w:t>, acetone, reflux, 16 h; b) HCl, dioxane, reflux, 3 h; c) PCl</w:t>
      </w:r>
      <w:r w:rsidRPr="00192DB5">
        <w:rPr>
          <w:sz w:val="20"/>
          <w:vertAlign w:val="subscript"/>
        </w:rPr>
        <w:t>3</w:t>
      </w:r>
      <w:r w:rsidRPr="00192DB5">
        <w:rPr>
          <w:sz w:val="20"/>
        </w:rPr>
        <w:t>, H</w:t>
      </w:r>
      <w:r w:rsidRPr="00192DB5">
        <w:rPr>
          <w:sz w:val="20"/>
          <w:vertAlign w:val="subscript"/>
        </w:rPr>
        <w:t>3</w:t>
      </w:r>
      <w:r w:rsidRPr="00192DB5">
        <w:rPr>
          <w:sz w:val="20"/>
        </w:rPr>
        <w:t>PO</w:t>
      </w:r>
      <w:r w:rsidRPr="00192DB5">
        <w:rPr>
          <w:sz w:val="20"/>
          <w:vertAlign w:val="subscript"/>
        </w:rPr>
        <w:t>3</w:t>
      </w:r>
      <w:r w:rsidRPr="00192DB5">
        <w:rPr>
          <w:sz w:val="20"/>
        </w:rPr>
        <w:t>, CH</w:t>
      </w:r>
      <w:r w:rsidRPr="00192DB5">
        <w:rPr>
          <w:sz w:val="20"/>
          <w:vertAlign w:val="subscript"/>
        </w:rPr>
        <w:t>3</w:t>
      </w:r>
      <w:r w:rsidRPr="00192DB5">
        <w:rPr>
          <w:sz w:val="20"/>
        </w:rPr>
        <w:t>CN, reflux, 5 h.</w:t>
      </w:r>
    </w:p>
    <w:p w14:paraId="1CC9B7C9" w14:textId="77777777" w:rsidR="00303C47" w:rsidRDefault="00303C47" w:rsidP="009E4114">
      <w:pPr>
        <w:pStyle w:val="TAMainText"/>
      </w:pPr>
    </w:p>
    <w:p w14:paraId="717D60A8" w14:textId="77777777" w:rsidR="00AA5992" w:rsidRDefault="00AA5992" w:rsidP="009E4114">
      <w:pPr>
        <w:pStyle w:val="TAMainText"/>
      </w:pPr>
    </w:p>
    <w:p w14:paraId="71F1F3AE" w14:textId="7C0C3F6D" w:rsidR="00AA5992" w:rsidRDefault="00AA5992" w:rsidP="009E4114">
      <w:pPr>
        <w:pStyle w:val="TAMainText"/>
      </w:pPr>
    </w:p>
    <w:p w14:paraId="7CEA2010" w14:textId="77777777" w:rsidR="00192DB5" w:rsidRPr="00B60938" w:rsidRDefault="00192DB5" w:rsidP="009E4114">
      <w:pPr>
        <w:pStyle w:val="TAMainText"/>
      </w:pPr>
    </w:p>
    <w:p w14:paraId="019C68AE" w14:textId="77777777" w:rsidR="00303C47" w:rsidRPr="00B60938" w:rsidRDefault="00303C47" w:rsidP="00BA1AC8">
      <w:pPr>
        <w:pStyle w:val="TAMainText"/>
        <w:outlineLvl w:val="0"/>
        <w:rPr>
          <w:b/>
        </w:rPr>
      </w:pPr>
      <w:r w:rsidRPr="00B60938">
        <w:rPr>
          <w:b/>
        </w:rPr>
        <w:lastRenderedPageBreak/>
        <w:t>2.3 Biology</w:t>
      </w:r>
    </w:p>
    <w:p w14:paraId="4A74C7B6" w14:textId="24604923" w:rsidR="00AA5992" w:rsidRPr="00E94337" w:rsidRDefault="00AA5992" w:rsidP="00C9722E">
      <w:pPr>
        <w:pStyle w:val="TAMainText"/>
        <w:ind w:firstLine="0"/>
        <w:rPr>
          <w:b/>
        </w:rPr>
      </w:pPr>
      <w:r w:rsidRPr="00E94337">
        <w:rPr>
          <w:b/>
        </w:rPr>
        <w:t>2.3.</w:t>
      </w:r>
      <w:r>
        <w:rPr>
          <w:b/>
        </w:rPr>
        <w:t>1</w:t>
      </w:r>
      <w:r w:rsidRPr="00E94337">
        <w:rPr>
          <w:b/>
        </w:rPr>
        <w:t xml:space="preserve"> Effects of target BPs on </w:t>
      </w:r>
      <w:r w:rsidR="00353DEE">
        <w:rPr>
          <w:b/>
        </w:rPr>
        <w:t>osteoblasts</w:t>
      </w:r>
      <w:r w:rsidR="000F7BC3">
        <w:rPr>
          <w:b/>
        </w:rPr>
        <w:t xml:space="preserve"> and</w:t>
      </w:r>
      <w:r w:rsidR="00353DEE">
        <w:rPr>
          <w:b/>
        </w:rPr>
        <w:t xml:space="preserve"> </w:t>
      </w:r>
      <w:r>
        <w:rPr>
          <w:b/>
        </w:rPr>
        <w:t xml:space="preserve">osteoclasts cell lines </w:t>
      </w:r>
      <w:r w:rsidRPr="00E94337">
        <w:rPr>
          <w:b/>
        </w:rPr>
        <w:t xml:space="preserve">and cancer cell lines </w:t>
      </w:r>
    </w:p>
    <w:p w14:paraId="7D1E6A94" w14:textId="14A3F868" w:rsidR="00AA5992" w:rsidRPr="00B60938" w:rsidRDefault="00AA5992" w:rsidP="00C9722E">
      <w:pPr>
        <w:pStyle w:val="TAMainText"/>
        <w:ind w:firstLine="0"/>
        <w:rPr>
          <w:b/>
          <w:bCs/>
          <w:lang w:val="en-GB"/>
        </w:rPr>
      </w:pPr>
      <w:r w:rsidRPr="00E94337">
        <w:rPr>
          <w:bCs/>
        </w:rPr>
        <w:t xml:space="preserve">The novel synthesized compounds showed different capability in reducing cell number and cell dehydrogenases activity in </w:t>
      </w:r>
      <w:r w:rsidRPr="00B60938">
        <w:t xml:space="preserve">murine pre-osteoclasts like J774A.1 and RAW 264.7 cells (Figure </w:t>
      </w:r>
      <w:r>
        <w:t>3</w:t>
      </w:r>
      <w:r w:rsidRPr="00913BF7">
        <w:t>A</w:t>
      </w:r>
      <w:r w:rsidRPr="00E94337">
        <w:t xml:space="preserve">, B), </w:t>
      </w:r>
      <w:r w:rsidRPr="00E94337">
        <w:rPr>
          <w:bCs/>
          <w:lang w:val="en-GB"/>
        </w:rPr>
        <w:t>human</w:t>
      </w:r>
      <w:r w:rsidRPr="00B60938">
        <w:rPr>
          <w:bCs/>
        </w:rPr>
        <w:t xml:space="preserve"> pre-osteoblast MG63 and human </w:t>
      </w:r>
      <w:r w:rsidRPr="00B60938">
        <w:rPr>
          <w:bCs/>
          <w:lang w:val="en-GB"/>
        </w:rPr>
        <w:t>tumour prostate cancer</w:t>
      </w:r>
      <w:r w:rsidRPr="00B60938">
        <w:rPr>
          <w:bCs/>
        </w:rPr>
        <w:t xml:space="preserve"> PC3 cell lines (Figure </w:t>
      </w:r>
      <w:r>
        <w:rPr>
          <w:bCs/>
        </w:rPr>
        <w:t>3</w:t>
      </w:r>
      <w:r w:rsidRPr="00B60938">
        <w:rPr>
          <w:bCs/>
        </w:rPr>
        <w:t xml:space="preserve">C, D). The maximal anti-proliferative effect of the novel BPs was evaluated in each cell line after 72 hours of incubation (Supporting information, </w:t>
      </w:r>
      <w:r w:rsidRPr="00E94337">
        <w:rPr>
          <w:bCs/>
        </w:rPr>
        <w:t>Table S4</w:t>
      </w:r>
      <w:r w:rsidRPr="00B60938">
        <w:rPr>
          <w:bCs/>
        </w:rPr>
        <w:t xml:space="preserve">), using the crystal violet (CV) assay. </w:t>
      </w:r>
      <w:r w:rsidRPr="00E94337">
        <w:rPr>
          <w:rFonts w:ascii="Times New Roman" w:hAnsi="Times New Roman"/>
          <w:szCs w:val="24"/>
          <w:lang w:val="en-GB"/>
        </w:rPr>
        <w:t xml:space="preserve">The data reported refer to the effects of the novel BPs at 100 </w:t>
      </w:r>
      <w:r w:rsidRPr="00E94337">
        <w:rPr>
          <w:rFonts w:ascii="Symbol" w:hAnsi="Symbol"/>
          <w:i/>
          <w:szCs w:val="24"/>
          <w:lang w:val="en-GB"/>
        </w:rPr>
        <w:t></w:t>
      </w:r>
      <w:r w:rsidRPr="00E94337">
        <w:rPr>
          <w:rFonts w:ascii="Times New Roman" w:hAnsi="Times New Roman"/>
          <w:szCs w:val="24"/>
          <w:lang w:val="en-GB"/>
        </w:rPr>
        <w:t>M that is the lowest tested concentration inducing the saturating effect on the cell proliferation.</w:t>
      </w:r>
      <w:r>
        <w:rPr>
          <w:rFonts w:ascii="Times New Roman" w:hAnsi="Times New Roman"/>
          <w:szCs w:val="24"/>
          <w:lang w:val="en-GB"/>
        </w:rPr>
        <w:t xml:space="preserve"> The antiproliferative effects of the compounds have been investigated in range of concentrations 0.1-500 </w:t>
      </w:r>
      <w:r w:rsidRPr="00DB7395">
        <w:rPr>
          <w:rFonts w:ascii="Symbol" w:hAnsi="Symbol"/>
          <w:i/>
          <w:szCs w:val="24"/>
          <w:lang w:val="en-GB"/>
        </w:rPr>
        <w:t></w:t>
      </w:r>
      <w:r>
        <w:rPr>
          <w:rFonts w:ascii="Times New Roman" w:hAnsi="Times New Roman"/>
          <w:szCs w:val="24"/>
          <w:lang w:val="en-GB"/>
        </w:rPr>
        <w:t>M.</w:t>
      </w:r>
    </w:p>
    <w:p w14:paraId="12EBAB53" w14:textId="77777777" w:rsidR="00AA5992" w:rsidRPr="00B60938" w:rsidRDefault="00AA5992" w:rsidP="00AA5992">
      <w:pPr>
        <w:widowControl w:val="0"/>
        <w:autoSpaceDE w:val="0"/>
        <w:autoSpaceDN w:val="0"/>
        <w:adjustRightInd w:val="0"/>
        <w:spacing w:after="240"/>
        <w:jc w:val="both"/>
        <w:rPr>
          <w:b/>
          <w:bCs/>
          <w:lang w:val="en-GB"/>
        </w:rPr>
      </w:pPr>
    </w:p>
    <w:p w14:paraId="761856DB" w14:textId="77777777" w:rsidR="00AA5992" w:rsidRPr="00B60938" w:rsidRDefault="00AA5992" w:rsidP="00AA5992">
      <w:pPr>
        <w:widowControl w:val="0"/>
        <w:autoSpaceDE w:val="0"/>
        <w:autoSpaceDN w:val="0"/>
        <w:adjustRightInd w:val="0"/>
        <w:spacing w:after="240"/>
        <w:jc w:val="both"/>
        <w:rPr>
          <w:b/>
          <w:bCs/>
          <w:lang w:val="en-GB"/>
        </w:rPr>
      </w:pPr>
      <w:r w:rsidRPr="00C9722E">
        <w:rPr>
          <w:b/>
          <w:bCs/>
          <w:noProof/>
          <w:lang w:eastAsia="en-US"/>
        </w:rPr>
        <w:drawing>
          <wp:inline distT="0" distB="0" distL="0" distR="0" wp14:anchorId="30BDC485" wp14:editId="7B28E2AD">
            <wp:extent cx="6269849" cy="3526790"/>
            <wp:effectExtent l="0" t="0" r="4445" b="381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70360" cy="3527077"/>
                    </a:xfrm>
                    <a:prstGeom prst="rect">
                      <a:avLst/>
                    </a:prstGeom>
                  </pic:spPr>
                </pic:pic>
              </a:graphicData>
            </a:graphic>
          </wp:inline>
        </w:drawing>
      </w:r>
    </w:p>
    <w:p w14:paraId="1EC9093F" w14:textId="6DAF9D25" w:rsidR="00AA5992" w:rsidRPr="00192DB5" w:rsidRDefault="00AA5992" w:rsidP="00AA5992">
      <w:pPr>
        <w:widowControl w:val="0"/>
        <w:autoSpaceDE w:val="0"/>
        <w:autoSpaceDN w:val="0"/>
        <w:adjustRightInd w:val="0"/>
        <w:spacing w:after="240" w:line="276" w:lineRule="auto"/>
        <w:jc w:val="both"/>
        <w:rPr>
          <w:bCs/>
          <w:sz w:val="20"/>
          <w:szCs w:val="20"/>
          <w:lang w:val="en-GB"/>
        </w:rPr>
      </w:pPr>
      <w:r w:rsidRPr="00192DB5">
        <w:rPr>
          <w:b/>
          <w:bCs/>
          <w:sz w:val="20"/>
          <w:szCs w:val="20"/>
          <w:lang w:val="en-GB"/>
        </w:rPr>
        <w:t xml:space="preserve">Figure </w:t>
      </w:r>
      <w:r w:rsidR="008717B6" w:rsidRPr="00192DB5">
        <w:rPr>
          <w:b/>
          <w:bCs/>
          <w:sz w:val="20"/>
          <w:szCs w:val="20"/>
          <w:lang w:val="en-GB"/>
        </w:rPr>
        <w:t>3</w:t>
      </w:r>
      <w:r w:rsidRPr="00192DB5">
        <w:rPr>
          <w:b/>
          <w:bCs/>
          <w:sz w:val="20"/>
          <w:szCs w:val="20"/>
          <w:lang w:val="en-GB"/>
        </w:rPr>
        <w:t>.</w:t>
      </w:r>
      <w:r w:rsidRPr="00192DB5">
        <w:rPr>
          <w:bCs/>
          <w:sz w:val="20"/>
          <w:szCs w:val="20"/>
          <w:lang w:val="en-GB"/>
        </w:rPr>
        <w:t xml:space="preserve"> Anti-proliferative effects of zoledronic acid (ZOL) and novel synthesized compounds at 100 </w:t>
      </w:r>
      <w:r w:rsidRPr="00192DB5">
        <w:rPr>
          <w:rFonts w:ascii="Calibri" w:hAnsi="Calibri" w:cs="Calibri"/>
          <w:bCs/>
          <w:sz w:val="20"/>
          <w:szCs w:val="20"/>
          <w:lang w:val="en-GB"/>
        </w:rPr>
        <w:t>µ</w:t>
      </w:r>
      <w:r w:rsidRPr="00192DB5">
        <w:rPr>
          <w:bCs/>
          <w:sz w:val="20"/>
          <w:szCs w:val="20"/>
          <w:lang w:val="en-GB"/>
        </w:rPr>
        <w:t xml:space="preserve">M on murine pre-osteoclasts like cells J774A.1 (A), murine pre-osteoclasts like cells RAW264.7 (B), </w:t>
      </w:r>
      <w:r w:rsidRPr="00192DB5">
        <w:rPr>
          <w:sz w:val="20"/>
          <w:szCs w:val="20"/>
          <w:lang w:val="en-GB"/>
        </w:rPr>
        <w:t>human osteosarcoma cells</w:t>
      </w:r>
      <w:r w:rsidRPr="00192DB5">
        <w:rPr>
          <w:bCs/>
          <w:sz w:val="20"/>
          <w:szCs w:val="20"/>
          <w:lang w:val="en-GB"/>
        </w:rPr>
        <w:t xml:space="preserve"> </w:t>
      </w:r>
      <w:r w:rsidRPr="00192DB5">
        <w:rPr>
          <w:sz w:val="20"/>
          <w:szCs w:val="20"/>
          <w:lang w:val="en-GB"/>
        </w:rPr>
        <w:t>MG63 (C) and human prostate cancer cells PC3 (D)</w:t>
      </w:r>
      <w:r w:rsidRPr="00192DB5">
        <w:rPr>
          <w:bCs/>
          <w:sz w:val="20"/>
          <w:szCs w:val="20"/>
          <w:lang w:val="en-GB"/>
        </w:rPr>
        <w:t xml:space="preserve">. Cell viability was evaluated by crystal violet (CV) assay. </w:t>
      </w:r>
      <w:r w:rsidRPr="00192DB5">
        <w:rPr>
          <w:sz w:val="20"/>
          <w:szCs w:val="20"/>
        </w:rPr>
        <w:t xml:space="preserve">Data are the mean ± E.S. of nine replicates and expressed as percentage (%) of proliferation changes. </w:t>
      </w:r>
      <w:r w:rsidRPr="00192DB5">
        <w:rPr>
          <w:bCs/>
          <w:sz w:val="20"/>
          <w:szCs w:val="20"/>
        </w:rPr>
        <w:t xml:space="preserve">Negative value indicates a reduction of cell proliferation vs controls. </w:t>
      </w:r>
      <w:r w:rsidRPr="00192DB5">
        <w:rPr>
          <w:bCs/>
          <w:sz w:val="20"/>
          <w:szCs w:val="20"/>
          <w:lang w:val="en-GB"/>
        </w:rPr>
        <w:t xml:space="preserve">Data were statistically different between groups as determined by ANOVA one way (p &lt; 0.05). </w:t>
      </w:r>
    </w:p>
    <w:p w14:paraId="217468C4" w14:textId="77777777" w:rsidR="00AA5992" w:rsidRPr="00E94337" w:rsidRDefault="00AA5992" w:rsidP="00AA5992">
      <w:pPr>
        <w:pStyle w:val="TAMainText"/>
        <w:rPr>
          <w:bCs/>
        </w:rPr>
      </w:pPr>
    </w:p>
    <w:p w14:paraId="09E3E77F" w14:textId="7C0D6C71" w:rsidR="00AA5992" w:rsidRPr="00B60938" w:rsidRDefault="00AA5992" w:rsidP="00AA5992">
      <w:pPr>
        <w:pStyle w:val="TAMainText"/>
        <w:ind w:firstLine="0"/>
        <w:rPr>
          <w:bCs/>
        </w:rPr>
      </w:pPr>
      <w:r w:rsidRPr="00B60938">
        <w:rPr>
          <w:bCs/>
        </w:rPr>
        <w:lastRenderedPageBreak/>
        <w:t xml:space="preserve">Even if a number of the new compounds affect the viability of the cell lines (Figure </w:t>
      </w:r>
      <w:r w:rsidR="008717B6">
        <w:rPr>
          <w:bCs/>
        </w:rPr>
        <w:t>3</w:t>
      </w:r>
      <w:r w:rsidRPr="00E94337">
        <w:rPr>
          <w:bCs/>
        </w:rPr>
        <w:t xml:space="preserve">A, B, C, D), the anti-proliferative profile of compound </w:t>
      </w:r>
      <w:r w:rsidRPr="00B60938">
        <w:rPr>
          <w:b/>
          <w:bCs/>
        </w:rPr>
        <w:t>10</w:t>
      </w:r>
      <w:r w:rsidRPr="00B60938">
        <w:rPr>
          <w:bCs/>
        </w:rPr>
        <w:t xml:space="preserve"> appeared to be similar to that of zoledronic acid being effective in all cell lines. Based on this result, </w:t>
      </w:r>
      <w:r w:rsidR="008717B6">
        <w:rPr>
          <w:bCs/>
        </w:rPr>
        <w:t xml:space="preserve">the compound </w:t>
      </w:r>
      <w:r w:rsidRPr="00B60938">
        <w:rPr>
          <w:b/>
          <w:bCs/>
        </w:rPr>
        <w:t>10</w:t>
      </w:r>
      <w:r w:rsidRPr="00B60938">
        <w:rPr>
          <w:bCs/>
        </w:rPr>
        <w:t xml:space="preserve"> was further investigated in cell dehydrogenase activity (DH) assay in comparison with zoledronic acid (ZOL), alendronic acid (ALE) and risedronic acid (RIS) used as references being the pharmaceutical active principle ingredients of drugs already approved to treat bone metastases and staurosporine (STS) (Figure </w:t>
      </w:r>
      <w:r w:rsidR="008717B6">
        <w:rPr>
          <w:bCs/>
        </w:rPr>
        <w:t>4</w:t>
      </w:r>
      <w:r w:rsidRPr="00B60938">
        <w:rPr>
          <w:bCs/>
        </w:rPr>
        <w:t>A, B, C, D). STS is a well-known apoptotic agent acting as a PAN inhibitor of tyrosine kinases including protein kinase C.</w:t>
      </w:r>
    </w:p>
    <w:p w14:paraId="0734A0C6" w14:textId="086D80C8" w:rsidR="00AA5992" w:rsidRPr="00E94337" w:rsidRDefault="00AA5992" w:rsidP="00AA5992">
      <w:pPr>
        <w:pStyle w:val="TAMainText"/>
        <w:ind w:firstLine="0"/>
        <w:rPr>
          <w:bCs/>
        </w:rPr>
      </w:pPr>
      <w:r w:rsidRPr="00B60938">
        <w:t>The rank order of efficacy of the drugs (</w:t>
      </w:r>
      <w:r w:rsidRPr="00B60938">
        <w:rPr>
          <w:rFonts w:ascii="Times New Roman" w:hAnsi="Times New Roman"/>
          <w:szCs w:val="24"/>
        </w:rPr>
        <w:t xml:space="preserve">100 </w:t>
      </w:r>
      <w:r w:rsidRPr="00B60938">
        <w:rPr>
          <w:rFonts w:ascii="Symbol" w:hAnsi="Symbol"/>
          <w:i/>
        </w:rPr>
        <w:t></w:t>
      </w:r>
      <w:r w:rsidRPr="00B60938">
        <w:t xml:space="preserve">M) in J774A.1 and RAW 264.7 cell lines using the DH activity assay was RIS </w:t>
      </w:r>
      <w:r w:rsidRPr="00B60938">
        <w:rPr>
          <w:u w:val="single"/>
        </w:rPr>
        <w:t>&gt;</w:t>
      </w:r>
      <w:r w:rsidRPr="00B60938">
        <w:t xml:space="preserve"> ALE &gt; ZOL &gt; </w:t>
      </w:r>
      <w:r w:rsidRPr="00B60938">
        <w:rPr>
          <w:b/>
        </w:rPr>
        <w:t>10</w:t>
      </w:r>
      <w:r w:rsidRPr="00B60938">
        <w:t xml:space="preserve"> </w:t>
      </w:r>
      <w:r w:rsidRPr="00E94337">
        <w:t xml:space="preserve">(Figure </w:t>
      </w:r>
      <w:r w:rsidR="008717B6">
        <w:t>4</w:t>
      </w:r>
      <w:r w:rsidRPr="00E94337">
        <w:t>A)</w:t>
      </w:r>
      <w:r w:rsidRPr="00B60938">
        <w:t xml:space="preserve"> and ZOL </w:t>
      </w:r>
      <w:r w:rsidRPr="00E94337">
        <w:rPr>
          <w:u w:val="single"/>
        </w:rPr>
        <w:t>&gt;</w:t>
      </w:r>
      <w:r w:rsidRPr="00E94337">
        <w:t xml:space="preserve"> RIS </w:t>
      </w:r>
      <w:r w:rsidRPr="00E94337">
        <w:rPr>
          <w:u w:val="single"/>
        </w:rPr>
        <w:t>&gt;</w:t>
      </w:r>
      <w:r w:rsidRPr="00E94337">
        <w:t xml:space="preserve"> ALE &gt; </w:t>
      </w:r>
      <w:r w:rsidRPr="00E94337">
        <w:rPr>
          <w:b/>
        </w:rPr>
        <w:t>10</w:t>
      </w:r>
      <w:r w:rsidRPr="00E94337">
        <w:t xml:space="preserve"> (Figure </w:t>
      </w:r>
      <w:r w:rsidR="008717B6">
        <w:t>4</w:t>
      </w:r>
      <w:r w:rsidRPr="00E94337">
        <w:t>B),</w:t>
      </w:r>
      <w:r w:rsidRPr="00E94337">
        <w:rPr>
          <w:szCs w:val="24"/>
        </w:rPr>
        <w:t xml:space="preserve"> respectively.</w:t>
      </w:r>
      <w:r w:rsidRPr="00E94337">
        <w:rPr>
          <w:bCs/>
        </w:rPr>
        <w:t xml:space="preserve"> In MG63 and PC3 cells, all drugs (</w:t>
      </w:r>
      <w:r w:rsidRPr="00B60938">
        <w:rPr>
          <w:rFonts w:ascii="Times New Roman" w:hAnsi="Times New Roman"/>
          <w:szCs w:val="24"/>
        </w:rPr>
        <w:t xml:space="preserve">100 </w:t>
      </w:r>
      <w:r w:rsidRPr="00E94337">
        <w:rPr>
          <w:rFonts w:ascii="Symbol" w:hAnsi="Symbol"/>
          <w:i/>
        </w:rPr>
        <w:t></w:t>
      </w:r>
      <w:r w:rsidRPr="00E94337">
        <w:t>M</w:t>
      </w:r>
      <w:r w:rsidRPr="00E94337">
        <w:rPr>
          <w:bCs/>
        </w:rPr>
        <w:t>) were less effective than staurosporine (STS) in reduc</w:t>
      </w:r>
      <w:r w:rsidRPr="00B60938">
        <w:rPr>
          <w:bCs/>
        </w:rPr>
        <w:t xml:space="preserve">ing cell number resulting in the following rank order: ZOL &gt; ALE &gt; </w:t>
      </w:r>
      <w:r w:rsidRPr="00B60938">
        <w:rPr>
          <w:b/>
          <w:bCs/>
        </w:rPr>
        <w:t>10</w:t>
      </w:r>
      <w:r w:rsidRPr="00B60938">
        <w:rPr>
          <w:bCs/>
        </w:rPr>
        <w:t xml:space="preserve"> &gt; RIS (Figure </w:t>
      </w:r>
      <w:r w:rsidR="008717B6">
        <w:rPr>
          <w:bCs/>
        </w:rPr>
        <w:t>4</w:t>
      </w:r>
      <w:r w:rsidRPr="00B60938">
        <w:rPr>
          <w:bCs/>
        </w:rPr>
        <w:t>C)</w:t>
      </w:r>
      <w:r w:rsidRPr="00B60938">
        <w:t xml:space="preserve"> and </w:t>
      </w:r>
      <w:r w:rsidRPr="00B60938">
        <w:rPr>
          <w:b/>
        </w:rPr>
        <w:t>10</w:t>
      </w:r>
      <w:r w:rsidRPr="00B60938">
        <w:t xml:space="preserve"> </w:t>
      </w:r>
      <w:r w:rsidRPr="00B60938">
        <w:rPr>
          <w:u w:val="single"/>
        </w:rPr>
        <w:t>&gt;</w:t>
      </w:r>
      <w:r w:rsidRPr="00B60938">
        <w:t xml:space="preserve"> ZOL &gt; ALE &gt; RIS (Figure </w:t>
      </w:r>
      <w:r w:rsidR="008717B6">
        <w:t>4</w:t>
      </w:r>
      <w:r w:rsidRPr="00B60938">
        <w:t>D), respectively</w:t>
      </w:r>
      <w:r w:rsidRPr="00B60938">
        <w:rPr>
          <w:bCs/>
        </w:rPr>
        <w:t>.</w:t>
      </w:r>
    </w:p>
    <w:p w14:paraId="23DC03AC" w14:textId="77777777" w:rsidR="00AA5992" w:rsidRPr="00E94337" w:rsidRDefault="00AA5992" w:rsidP="00AA5992">
      <w:pPr>
        <w:jc w:val="both"/>
        <w:rPr>
          <w:bCs/>
        </w:rPr>
      </w:pPr>
    </w:p>
    <w:p w14:paraId="4A85B4DA" w14:textId="77777777" w:rsidR="00AA5992" w:rsidRPr="00B60938" w:rsidRDefault="00AA5992" w:rsidP="00AA5992">
      <w:pPr>
        <w:widowControl w:val="0"/>
        <w:autoSpaceDE w:val="0"/>
        <w:autoSpaceDN w:val="0"/>
        <w:adjustRightInd w:val="0"/>
        <w:spacing w:after="240"/>
        <w:jc w:val="both"/>
        <w:rPr>
          <w:b/>
          <w:bCs/>
          <w:lang w:val="en-GB"/>
        </w:rPr>
      </w:pPr>
      <w:r w:rsidRPr="00E94337">
        <w:rPr>
          <w:noProof/>
          <w:lang w:eastAsia="en-US"/>
        </w:rPr>
        <w:drawing>
          <wp:inline distT="0" distB="0" distL="0" distR="0" wp14:anchorId="6A8D082C" wp14:editId="3F7F6D9B">
            <wp:extent cx="5086985" cy="2875016"/>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87605" cy="2875366"/>
                    </a:xfrm>
                    <a:prstGeom prst="rect">
                      <a:avLst/>
                    </a:prstGeom>
                  </pic:spPr>
                </pic:pic>
              </a:graphicData>
            </a:graphic>
          </wp:inline>
        </w:drawing>
      </w:r>
    </w:p>
    <w:p w14:paraId="40031DA6" w14:textId="5CEC41E0" w:rsidR="00AA5992" w:rsidRPr="00192DB5" w:rsidRDefault="00AA5992" w:rsidP="00C9722E">
      <w:pPr>
        <w:widowControl w:val="0"/>
        <w:autoSpaceDE w:val="0"/>
        <w:autoSpaceDN w:val="0"/>
        <w:adjustRightInd w:val="0"/>
        <w:spacing w:after="240" w:line="360" w:lineRule="auto"/>
        <w:jc w:val="both"/>
        <w:rPr>
          <w:sz w:val="20"/>
          <w:szCs w:val="20"/>
        </w:rPr>
      </w:pPr>
      <w:r w:rsidRPr="00192DB5">
        <w:rPr>
          <w:b/>
          <w:bCs/>
          <w:sz w:val="20"/>
          <w:szCs w:val="20"/>
          <w:lang w:val="en-GB"/>
        </w:rPr>
        <w:t xml:space="preserve">Figure </w:t>
      </w:r>
      <w:r w:rsidR="008717B6" w:rsidRPr="00192DB5">
        <w:rPr>
          <w:b/>
          <w:bCs/>
          <w:sz w:val="20"/>
          <w:szCs w:val="20"/>
          <w:lang w:val="en-GB"/>
        </w:rPr>
        <w:t>4</w:t>
      </w:r>
      <w:r w:rsidRPr="00192DB5">
        <w:rPr>
          <w:b/>
          <w:bCs/>
          <w:sz w:val="20"/>
          <w:szCs w:val="20"/>
          <w:lang w:val="en-GB"/>
        </w:rPr>
        <w:t>.</w:t>
      </w:r>
      <w:r w:rsidRPr="00192DB5">
        <w:rPr>
          <w:bCs/>
          <w:sz w:val="20"/>
          <w:szCs w:val="20"/>
          <w:lang w:val="en-GB"/>
        </w:rPr>
        <w:t xml:space="preserve"> Anti-proliferative effects of zoledronic acid (ZOL), alendronic acid (ALE), risedronic acid (RIS) and </w:t>
      </w:r>
      <w:r w:rsidRPr="00192DB5">
        <w:rPr>
          <w:b/>
          <w:bCs/>
          <w:sz w:val="20"/>
          <w:szCs w:val="20"/>
          <w:lang w:val="en-GB"/>
        </w:rPr>
        <w:t xml:space="preserve">10 </w:t>
      </w:r>
      <w:r w:rsidRPr="00192DB5">
        <w:rPr>
          <w:bCs/>
          <w:sz w:val="20"/>
          <w:szCs w:val="20"/>
          <w:lang w:val="en-GB"/>
        </w:rPr>
        <w:t xml:space="preserve">at </w:t>
      </w:r>
      <w:r w:rsidRPr="00192DB5">
        <w:rPr>
          <w:sz w:val="20"/>
          <w:szCs w:val="20"/>
          <w:lang w:val="en-GB"/>
        </w:rPr>
        <w:t>100 µM</w:t>
      </w:r>
      <w:r w:rsidRPr="00192DB5">
        <w:rPr>
          <w:bCs/>
          <w:sz w:val="20"/>
          <w:szCs w:val="20"/>
          <w:lang w:val="en-GB"/>
        </w:rPr>
        <w:t xml:space="preserve"> and staurosporine (STS) at 2.14 </w:t>
      </w:r>
      <w:r w:rsidRPr="00192DB5">
        <w:rPr>
          <w:sz w:val="20"/>
          <w:szCs w:val="20"/>
          <w:lang w:val="en-GB"/>
        </w:rPr>
        <w:t>µM</w:t>
      </w:r>
      <w:r w:rsidRPr="00192DB5">
        <w:rPr>
          <w:bCs/>
          <w:sz w:val="20"/>
          <w:szCs w:val="20"/>
          <w:lang w:val="en-GB"/>
        </w:rPr>
        <w:t xml:space="preserve"> on murine pre-osteoclasts like cells J774A.1 (A), murine pre-osteoclasts like cells RAW264.7 (B), </w:t>
      </w:r>
      <w:r w:rsidRPr="00192DB5">
        <w:rPr>
          <w:sz w:val="20"/>
          <w:szCs w:val="20"/>
          <w:lang w:val="en-GB"/>
        </w:rPr>
        <w:t>human osteosarcoma cells</w:t>
      </w:r>
      <w:r w:rsidRPr="00192DB5">
        <w:rPr>
          <w:bCs/>
          <w:sz w:val="20"/>
          <w:szCs w:val="20"/>
          <w:lang w:val="en-GB"/>
        </w:rPr>
        <w:t xml:space="preserve"> </w:t>
      </w:r>
      <w:r w:rsidRPr="00192DB5">
        <w:rPr>
          <w:sz w:val="20"/>
          <w:szCs w:val="20"/>
          <w:lang w:val="en-GB"/>
        </w:rPr>
        <w:t>MG63 (C) and human prostate cancer cells PC3 (D)</w:t>
      </w:r>
      <w:r w:rsidRPr="00192DB5">
        <w:rPr>
          <w:bCs/>
          <w:sz w:val="20"/>
          <w:szCs w:val="20"/>
          <w:lang w:val="en-GB"/>
        </w:rPr>
        <w:t xml:space="preserve">. Cell viability was evaluated by cellular dehydrogenase (DH) activity assay CCK8. </w:t>
      </w:r>
      <w:r w:rsidRPr="00192DB5">
        <w:rPr>
          <w:sz w:val="20"/>
          <w:szCs w:val="20"/>
        </w:rPr>
        <w:t xml:space="preserve">Data are the mean ± E.S. of nine replicates and expressed as percentage (%) of DH activity changes. </w:t>
      </w:r>
      <w:r w:rsidRPr="00192DB5">
        <w:rPr>
          <w:bCs/>
          <w:sz w:val="20"/>
          <w:szCs w:val="20"/>
          <w:lang w:val="en-GB"/>
        </w:rPr>
        <w:t>Data were statistically different between groups as determined by ANOVA one way (p &lt; 0.05).</w:t>
      </w:r>
    </w:p>
    <w:p w14:paraId="52955187" w14:textId="2F3B8FFA" w:rsidR="00AA5992" w:rsidRPr="00B60938" w:rsidRDefault="00AA5992" w:rsidP="00AA5992">
      <w:pPr>
        <w:widowControl w:val="0"/>
        <w:autoSpaceDE w:val="0"/>
        <w:autoSpaceDN w:val="0"/>
        <w:adjustRightInd w:val="0"/>
        <w:spacing w:after="240" w:line="480" w:lineRule="auto"/>
        <w:jc w:val="both"/>
        <w:rPr>
          <w:bCs/>
        </w:rPr>
      </w:pPr>
      <w:r w:rsidRPr="00B60938">
        <w:lastRenderedPageBreak/>
        <w:t xml:space="preserve">Therefore, </w:t>
      </w:r>
      <w:r w:rsidRPr="00B60938">
        <w:rPr>
          <w:b/>
        </w:rPr>
        <w:t>6</w:t>
      </w:r>
      <w:r w:rsidRPr="00B60938">
        <w:t xml:space="preserve"> (ZOL) and the compound </w:t>
      </w:r>
      <w:r w:rsidRPr="00B60938">
        <w:rPr>
          <w:b/>
        </w:rPr>
        <w:t>10</w:t>
      </w:r>
      <w:r w:rsidRPr="00B60938">
        <w:t xml:space="preserve"> showed a similar anti-proliferative profile, among the novel compounds, being effective in all cell lines. Then, </w:t>
      </w:r>
      <w:r w:rsidRPr="00B60938">
        <w:rPr>
          <w:b/>
        </w:rPr>
        <w:t>10</w:t>
      </w:r>
      <w:r w:rsidRPr="00B60938">
        <w:t xml:space="preserve"> was investigated for its effects on cell proliferation and osteoclastogenesis in differentiated RAW264.7 in comparison with the </w:t>
      </w:r>
      <w:r w:rsidRPr="00B60938">
        <w:rPr>
          <w:b/>
        </w:rPr>
        <w:t>6</w:t>
      </w:r>
      <w:r w:rsidRPr="00B60938">
        <w:t xml:space="preserve"> (ZOL), </w:t>
      </w:r>
      <w:r w:rsidRPr="00B60938">
        <w:rPr>
          <w:b/>
        </w:rPr>
        <w:t>4</w:t>
      </w:r>
      <w:r w:rsidRPr="00B60938">
        <w:t xml:space="preserve"> (ALE) and </w:t>
      </w:r>
      <w:r w:rsidRPr="00B60938">
        <w:rPr>
          <w:b/>
        </w:rPr>
        <w:t>5</w:t>
      </w:r>
      <w:r w:rsidRPr="00B60938">
        <w:t xml:space="preserve"> (RIS).</w:t>
      </w:r>
      <w:r w:rsidRPr="00B60938">
        <w:rPr>
          <w:bCs/>
        </w:rPr>
        <w:t xml:space="preserve"> In differentiated RAW 264.7 cells, the rank order of efficacy of the drugs (0.1 mM) using the DH assay was:  ZOL </w:t>
      </w:r>
      <w:r w:rsidRPr="00B60938">
        <w:rPr>
          <w:bCs/>
          <w:u w:val="single"/>
        </w:rPr>
        <w:t>&gt;</w:t>
      </w:r>
      <w:r w:rsidRPr="00B60938">
        <w:rPr>
          <w:bCs/>
        </w:rPr>
        <w:t xml:space="preserve"> </w:t>
      </w:r>
      <w:r w:rsidRPr="00B60938">
        <w:rPr>
          <w:b/>
          <w:bCs/>
        </w:rPr>
        <w:t>10</w:t>
      </w:r>
      <w:r w:rsidRPr="00B60938">
        <w:rPr>
          <w:bCs/>
        </w:rPr>
        <w:t xml:space="preserve"> </w:t>
      </w:r>
      <w:r w:rsidRPr="00B60938">
        <w:rPr>
          <w:bCs/>
          <w:u w:val="single"/>
        </w:rPr>
        <w:t>&gt;</w:t>
      </w:r>
      <w:r w:rsidRPr="00B60938">
        <w:rPr>
          <w:bCs/>
        </w:rPr>
        <w:t xml:space="preserve"> ALE &gt; RIS (Figure </w:t>
      </w:r>
      <w:r w:rsidR="008717B6">
        <w:rPr>
          <w:bCs/>
        </w:rPr>
        <w:t>5</w:t>
      </w:r>
      <w:r w:rsidRPr="00B60938">
        <w:rPr>
          <w:bCs/>
        </w:rPr>
        <w:t xml:space="preserve">A), suggesting that cell differentiation enhanced the anti-proliferative response of the compound </w:t>
      </w:r>
      <w:r w:rsidRPr="00B60938">
        <w:rPr>
          <w:b/>
          <w:bCs/>
        </w:rPr>
        <w:t>10</w:t>
      </w:r>
      <w:r w:rsidRPr="00B60938">
        <w:rPr>
          <w:bCs/>
        </w:rPr>
        <w:t xml:space="preserve"> reducing that of ALE and RIS.</w:t>
      </w:r>
    </w:p>
    <w:p w14:paraId="45659B48" w14:textId="77777777" w:rsidR="00AA5992" w:rsidRPr="00B60938" w:rsidRDefault="00AA5992" w:rsidP="00AA5992">
      <w:pPr>
        <w:pStyle w:val="VDTableTitle"/>
        <w:spacing w:line="240" w:lineRule="auto"/>
        <w:rPr>
          <w:rFonts w:ascii="Times New Roman" w:hAnsi="Times New Roman"/>
          <w:b/>
          <w:bCs/>
          <w:szCs w:val="24"/>
          <w:lang w:val="en-GB" w:eastAsia="it-IT"/>
        </w:rPr>
      </w:pPr>
      <w:r w:rsidRPr="00C9722E">
        <w:rPr>
          <w:rFonts w:ascii="Times New Roman" w:hAnsi="Times New Roman"/>
          <w:b/>
          <w:bCs/>
          <w:noProof/>
          <w:szCs w:val="24"/>
        </w:rPr>
        <w:drawing>
          <wp:inline distT="0" distB="0" distL="0" distR="0" wp14:anchorId="169CA32F" wp14:editId="122D0DAE">
            <wp:extent cx="5391785" cy="2489668"/>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91785" cy="2489668"/>
                    </a:xfrm>
                    <a:prstGeom prst="rect">
                      <a:avLst/>
                    </a:prstGeom>
                  </pic:spPr>
                </pic:pic>
              </a:graphicData>
            </a:graphic>
          </wp:inline>
        </w:drawing>
      </w:r>
    </w:p>
    <w:p w14:paraId="660300EE" w14:textId="77777777" w:rsidR="00AA5992" w:rsidRPr="00B60938" w:rsidRDefault="00AA5992" w:rsidP="00AA5992">
      <w:pPr>
        <w:pStyle w:val="VDTableTitle"/>
        <w:spacing w:line="240" w:lineRule="auto"/>
        <w:rPr>
          <w:rFonts w:ascii="Times New Roman" w:hAnsi="Times New Roman"/>
          <w:b/>
          <w:bCs/>
          <w:szCs w:val="24"/>
          <w:lang w:val="en-GB" w:eastAsia="it-IT"/>
        </w:rPr>
      </w:pPr>
    </w:p>
    <w:p w14:paraId="1C479A42" w14:textId="1C08E267" w:rsidR="00AA5992" w:rsidRPr="00192DB5" w:rsidRDefault="00AA5992" w:rsidP="00AA5992">
      <w:pPr>
        <w:pStyle w:val="VDTableTitle"/>
        <w:spacing w:line="360" w:lineRule="auto"/>
        <w:rPr>
          <w:rFonts w:ascii="Times New Roman" w:hAnsi="Times New Roman"/>
          <w:bCs/>
          <w:sz w:val="20"/>
          <w:lang w:val="en-GB"/>
        </w:rPr>
      </w:pPr>
      <w:r w:rsidRPr="00192DB5">
        <w:rPr>
          <w:rFonts w:ascii="Times New Roman" w:hAnsi="Times New Roman"/>
          <w:b/>
          <w:bCs/>
          <w:sz w:val="20"/>
          <w:lang w:val="en-GB" w:eastAsia="it-IT"/>
        </w:rPr>
        <w:t xml:space="preserve">Figure </w:t>
      </w:r>
      <w:r w:rsidR="008717B6" w:rsidRPr="00192DB5">
        <w:rPr>
          <w:rFonts w:ascii="Times New Roman" w:hAnsi="Times New Roman"/>
          <w:b/>
          <w:bCs/>
          <w:sz w:val="20"/>
          <w:lang w:val="en-GB" w:eastAsia="it-IT"/>
        </w:rPr>
        <w:t>5</w:t>
      </w:r>
      <w:r w:rsidRPr="00192DB5">
        <w:rPr>
          <w:rFonts w:ascii="Times New Roman" w:hAnsi="Times New Roman"/>
          <w:bCs/>
          <w:sz w:val="20"/>
          <w:lang w:val="en-GB" w:eastAsia="it-IT"/>
        </w:rPr>
        <w:t xml:space="preserve">. (A) </w:t>
      </w:r>
      <w:r w:rsidRPr="00192DB5">
        <w:rPr>
          <w:rFonts w:ascii="Times New Roman" w:hAnsi="Times New Roman"/>
          <w:bCs/>
          <w:sz w:val="20"/>
        </w:rPr>
        <w:t xml:space="preserve">Anti-proliferative effects </w:t>
      </w:r>
      <w:r w:rsidRPr="00192DB5">
        <w:rPr>
          <w:rFonts w:ascii="Times New Roman" w:hAnsi="Times New Roman"/>
          <w:bCs/>
          <w:sz w:val="20"/>
          <w:lang w:val="en-GB"/>
        </w:rPr>
        <w:t xml:space="preserve">of zoledronic (ZOL), alendronic (ALE), risedronic acid (RIS) and </w:t>
      </w:r>
      <w:r w:rsidRPr="00192DB5">
        <w:rPr>
          <w:rFonts w:ascii="Times New Roman" w:hAnsi="Times New Roman"/>
          <w:b/>
          <w:bCs/>
          <w:sz w:val="20"/>
          <w:lang w:val="en-GB"/>
        </w:rPr>
        <w:t xml:space="preserve">10 </w:t>
      </w:r>
      <w:r w:rsidRPr="00192DB5">
        <w:rPr>
          <w:rFonts w:ascii="Times New Roman" w:hAnsi="Times New Roman"/>
          <w:bCs/>
          <w:sz w:val="20"/>
          <w:lang w:val="en-GB"/>
        </w:rPr>
        <w:t xml:space="preserve">at </w:t>
      </w:r>
      <w:r w:rsidRPr="00192DB5">
        <w:rPr>
          <w:rFonts w:ascii="Times New Roman" w:hAnsi="Times New Roman"/>
          <w:sz w:val="20"/>
          <w:lang w:val="en-GB"/>
        </w:rPr>
        <w:t xml:space="preserve">100 µM </w:t>
      </w:r>
      <w:r w:rsidRPr="00192DB5">
        <w:rPr>
          <w:rFonts w:ascii="Times New Roman" w:hAnsi="Times New Roman"/>
          <w:bCs/>
          <w:sz w:val="20"/>
          <w:lang w:val="en-GB"/>
        </w:rPr>
        <w:t xml:space="preserve">and staurosporine (STS) at 2.14 </w:t>
      </w:r>
      <w:r w:rsidRPr="00192DB5">
        <w:rPr>
          <w:rFonts w:ascii="Times New Roman" w:hAnsi="Times New Roman"/>
          <w:sz w:val="20"/>
          <w:lang w:val="en-GB"/>
        </w:rPr>
        <w:t>µM</w:t>
      </w:r>
      <w:r w:rsidRPr="00192DB5">
        <w:rPr>
          <w:rFonts w:ascii="Times New Roman" w:hAnsi="Times New Roman"/>
          <w:bCs/>
          <w:sz w:val="20"/>
          <w:lang w:val="en-GB"/>
        </w:rPr>
        <w:t xml:space="preserve"> on RANK ligand</w:t>
      </w:r>
      <w:r w:rsidRPr="00192DB5">
        <w:rPr>
          <w:rFonts w:ascii="Times New Roman" w:hAnsi="Times New Roman"/>
          <w:bCs/>
          <w:sz w:val="20"/>
        </w:rPr>
        <w:t xml:space="preserve"> differentiated RAW264.7. The cell number and viability were evaluated by crystal violet (CV) and cell dehydrogenase (DH) activity assays.</w:t>
      </w:r>
      <w:r w:rsidRPr="00192DB5">
        <w:rPr>
          <w:rFonts w:ascii="Times New Roman" w:hAnsi="Times New Roman"/>
          <w:bCs/>
          <w:sz w:val="20"/>
          <w:lang w:eastAsia="it-IT"/>
        </w:rPr>
        <w:t xml:space="preserve"> Data were statistically different between groups as determined by ANOVA one way (p &lt; 0.05). (B) </w:t>
      </w:r>
      <w:r w:rsidRPr="00192DB5">
        <w:rPr>
          <w:rFonts w:ascii="Times New Roman" w:hAnsi="Times New Roman"/>
          <w:bCs/>
          <w:sz w:val="20"/>
          <w:lang w:val="en-GB"/>
        </w:rPr>
        <w:t xml:space="preserve">Effects of BPs on multinucleated RANK ligand differentiated RAW 264.7 osteoclasts evaluated by Trap assay. *Data significantly different </w:t>
      </w:r>
      <w:r w:rsidRPr="00192DB5">
        <w:rPr>
          <w:rFonts w:ascii="Times New Roman" w:hAnsi="Times New Roman"/>
          <w:bCs/>
          <w:i/>
          <w:sz w:val="20"/>
          <w:lang w:val="en-GB"/>
        </w:rPr>
        <w:t>vs</w:t>
      </w:r>
      <w:r w:rsidRPr="00192DB5">
        <w:rPr>
          <w:rFonts w:ascii="Times New Roman" w:hAnsi="Times New Roman"/>
          <w:bCs/>
          <w:sz w:val="20"/>
          <w:lang w:val="en-GB"/>
        </w:rPr>
        <w:t xml:space="preserve"> controls (CTRL) as evaluated by </w:t>
      </w:r>
      <w:r w:rsidRPr="00192DB5">
        <w:rPr>
          <w:rFonts w:ascii="Times New Roman" w:hAnsi="Times New Roman"/>
          <w:bCs/>
          <w:i/>
          <w:sz w:val="20"/>
          <w:lang w:val="en-GB"/>
        </w:rPr>
        <w:t xml:space="preserve">student t test </w:t>
      </w:r>
      <w:r w:rsidRPr="00192DB5">
        <w:rPr>
          <w:rFonts w:ascii="Times New Roman" w:hAnsi="Times New Roman"/>
          <w:bCs/>
          <w:sz w:val="20"/>
          <w:lang w:val="en-GB"/>
        </w:rPr>
        <w:t>(p &lt; 0.05).</w:t>
      </w:r>
    </w:p>
    <w:p w14:paraId="43B2784C" w14:textId="54BC4708" w:rsidR="00AA5992" w:rsidRPr="00B60938" w:rsidRDefault="00AA5992" w:rsidP="00AA5992">
      <w:pPr>
        <w:spacing w:line="480" w:lineRule="auto"/>
        <w:jc w:val="both"/>
        <w:rPr>
          <w:noProof/>
        </w:rPr>
      </w:pPr>
      <w:r w:rsidRPr="00B60938">
        <w:rPr>
          <w:lang w:val="en-GB"/>
        </w:rPr>
        <w:t xml:space="preserve">In the osteoclastogenesis assay performed on differentiated RAW 264.7 cell line (Figure </w:t>
      </w:r>
      <w:r w:rsidR="008717B6">
        <w:rPr>
          <w:lang w:val="en-GB"/>
        </w:rPr>
        <w:t>5</w:t>
      </w:r>
      <w:r w:rsidRPr="00B60938">
        <w:rPr>
          <w:lang w:val="en-GB"/>
        </w:rPr>
        <w:t>B), the compounds under investigation were capable to inhibit osteoclastogenesis in the micromolar concentration range, after 7 days of cells incubation with the receptor activator of NF-</w:t>
      </w:r>
      <w:r w:rsidRPr="00B60938">
        <w:rPr>
          <w:i/>
          <w:lang w:val="en-GB"/>
        </w:rPr>
        <w:t>k</w:t>
      </w:r>
      <w:r w:rsidRPr="00B60938">
        <w:rPr>
          <w:lang w:val="en-GB"/>
        </w:rPr>
        <w:t>B ligand (RANKL), that in turn plays a critical role in the formation of osteoclasts by stimulating precursor cells when binds to receptor activator of NF-</w:t>
      </w:r>
      <w:r w:rsidRPr="00B60938">
        <w:rPr>
          <w:i/>
          <w:lang w:val="en-GB"/>
        </w:rPr>
        <w:t>k</w:t>
      </w:r>
      <w:r w:rsidRPr="00B60938">
        <w:rPr>
          <w:lang w:val="en-GB"/>
        </w:rPr>
        <w:t xml:space="preserve">B (RANK) on the cell membrane of osteoclast </w:t>
      </w:r>
      <w:r w:rsidRPr="00B60938">
        <w:rPr>
          <w:lang w:val="en-GB"/>
        </w:rPr>
        <w:lastRenderedPageBreak/>
        <w:t>precursors.</w:t>
      </w:r>
      <w:r w:rsidRPr="00B60938">
        <w:rPr>
          <w:noProof/>
        </w:rPr>
        <w:t xml:space="preserve"> </w:t>
      </w:r>
      <w:r w:rsidRPr="00B60938">
        <w:rPr>
          <w:bCs/>
        </w:rPr>
        <w:t xml:space="preserve">The rank order of efficacy to reduce the numbers of differentiated osteoclasts was ZOL = </w:t>
      </w:r>
      <w:r w:rsidRPr="00B60938">
        <w:rPr>
          <w:b/>
          <w:bCs/>
        </w:rPr>
        <w:t>10</w:t>
      </w:r>
      <w:r w:rsidRPr="00B60938">
        <w:rPr>
          <w:bCs/>
        </w:rPr>
        <w:t xml:space="preserve"> &gt; RIS = ALE. It appears clearly enough that </w:t>
      </w:r>
      <w:r w:rsidRPr="00B60938">
        <w:rPr>
          <w:b/>
          <w:bCs/>
        </w:rPr>
        <w:t>10</w:t>
      </w:r>
      <w:r w:rsidRPr="00B60938">
        <w:rPr>
          <w:bCs/>
        </w:rPr>
        <w:t xml:space="preserve"> activates RANK, similarly to ZOL.</w:t>
      </w:r>
    </w:p>
    <w:p w14:paraId="3DD90A81" w14:textId="77777777" w:rsidR="00AA5992" w:rsidRDefault="00AA5992" w:rsidP="00C75139">
      <w:pPr>
        <w:pStyle w:val="TAMainText"/>
        <w:outlineLvl w:val="0"/>
        <w:rPr>
          <w:b/>
        </w:rPr>
      </w:pPr>
    </w:p>
    <w:p w14:paraId="729EF5BC" w14:textId="41BFBB97" w:rsidR="00C449A9" w:rsidRDefault="00303C47" w:rsidP="00C75139">
      <w:pPr>
        <w:pStyle w:val="TAMainText"/>
        <w:outlineLvl w:val="0"/>
      </w:pPr>
      <w:r w:rsidRPr="00B60938">
        <w:rPr>
          <w:b/>
        </w:rPr>
        <w:t>2.3.</w:t>
      </w:r>
      <w:r w:rsidR="00C449A9">
        <w:rPr>
          <w:b/>
        </w:rPr>
        <w:t>2</w:t>
      </w:r>
      <w:r w:rsidRPr="00B60938">
        <w:rPr>
          <w:b/>
        </w:rPr>
        <w:t xml:space="preserve"> </w:t>
      </w:r>
      <w:r w:rsidRPr="00B60938">
        <w:rPr>
          <w:b/>
          <w:i/>
        </w:rPr>
        <w:t>h</w:t>
      </w:r>
      <w:r w:rsidRPr="00B60938">
        <w:rPr>
          <w:b/>
        </w:rPr>
        <w:t xml:space="preserve">FPPS and </w:t>
      </w:r>
      <w:r w:rsidRPr="00B60938">
        <w:rPr>
          <w:b/>
          <w:i/>
        </w:rPr>
        <w:t>h</w:t>
      </w:r>
      <w:r w:rsidRPr="00B60938">
        <w:rPr>
          <w:b/>
        </w:rPr>
        <w:t>GGPPS expression and their inhibition</w:t>
      </w:r>
      <w:r w:rsidRPr="00B60938">
        <w:t xml:space="preserve"> </w:t>
      </w:r>
    </w:p>
    <w:p w14:paraId="0DCC6C66" w14:textId="6AE8388B" w:rsidR="00303C47" w:rsidRPr="00B60938" w:rsidRDefault="00C449A9" w:rsidP="00C9722E">
      <w:pPr>
        <w:pStyle w:val="TAMainText"/>
        <w:ind w:firstLine="0"/>
        <w:outlineLvl w:val="0"/>
      </w:pPr>
      <w:r>
        <w:t xml:space="preserve">The novel BPs were therefore investigated for their capability to inhibit the </w:t>
      </w:r>
      <w:r w:rsidR="00C9722E">
        <w:t xml:space="preserve">human </w:t>
      </w:r>
      <w:r>
        <w:t>recombinant enzymes</w:t>
      </w:r>
      <w:r>
        <w:rPr>
          <w:i/>
        </w:rPr>
        <w:t xml:space="preserve">. </w:t>
      </w:r>
      <w:r w:rsidR="00303C47" w:rsidRPr="00B60938">
        <w:rPr>
          <w:i/>
        </w:rPr>
        <w:t>h</w:t>
      </w:r>
      <w:r w:rsidR="00303C47" w:rsidRPr="00B60938">
        <w:t xml:space="preserve">FPPS and </w:t>
      </w:r>
      <w:r w:rsidR="00303C47" w:rsidRPr="00B60938">
        <w:rPr>
          <w:i/>
        </w:rPr>
        <w:t>h</w:t>
      </w:r>
      <w:r w:rsidR="00303C47" w:rsidRPr="00B60938">
        <w:t xml:space="preserve">GGPPS were over-expressed in BL21 </w:t>
      </w:r>
      <w:r w:rsidR="00303C47" w:rsidRPr="00B60938">
        <w:rPr>
          <w:i/>
        </w:rPr>
        <w:t>E. coli</w:t>
      </w:r>
      <w:r w:rsidR="00303C47" w:rsidRPr="00B60938">
        <w:t xml:space="preserve"> cells with a hexahistidine (6xHis) tag at the C-terminus of the proteins (Supporting Information </w:t>
      </w:r>
      <w:r w:rsidR="00303C47" w:rsidRPr="00913BF7">
        <w:t>Figures S1-S2</w:t>
      </w:r>
      <w:r w:rsidR="00303C47" w:rsidRPr="00B60938">
        <w:t xml:space="preserve">) to allow purification by immobilized metal affinity chromatography (IMAC). The proteins were efficiently purified with Nickel-nitrilotriacetate (Ni-NTA) agarose matrix using a stepwise imidazole gradient (Supporting Information </w:t>
      </w:r>
      <w:r w:rsidR="00303C47" w:rsidRPr="00913BF7">
        <w:t>Figures S3-S4</w:t>
      </w:r>
      <w:r w:rsidR="00303C47" w:rsidRPr="00B60938">
        <w:t>).</w:t>
      </w:r>
    </w:p>
    <w:p w14:paraId="76674291" w14:textId="1A66C9EE" w:rsidR="00303C47" w:rsidRPr="00B60938" w:rsidRDefault="00303C47" w:rsidP="00FA303D">
      <w:pPr>
        <w:pStyle w:val="TAMainText"/>
      </w:pPr>
      <w:r w:rsidRPr="00B60938">
        <w:t xml:space="preserve">The assay of </w:t>
      </w:r>
      <w:r w:rsidRPr="00B60938">
        <w:rPr>
          <w:i/>
        </w:rPr>
        <w:t>h</w:t>
      </w:r>
      <w:r w:rsidRPr="00B60938">
        <w:t xml:space="preserve">FPPS and </w:t>
      </w:r>
      <w:r w:rsidRPr="00B60938">
        <w:rPr>
          <w:i/>
        </w:rPr>
        <w:t>h</w:t>
      </w:r>
      <w:r w:rsidRPr="00B60938">
        <w:t xml:space="preserve">GGPPS activity inhibition by the novel set of BPs was based on the detection of pyrophosphate (PPi) or phosphate (Pi), the byproducts of </w:t>
      </w:r>
      <w:r w:rsidRPr="00B60938">
        <w:rPr>
          <w:i/>
        </w:rPr>
        <w:t>h</w:t>
      </w:r>
      <w:r w:rsidRPr="00B60938">
        <w:t xml:space="preserve">FPPS and </w:t>
      </w:r>
      <w:r w:rsidRPr="00B60938">
        <w:rPr>
          <w:i/>
        </w:rPr>
        <w:t>h</w:t>
      </w:r>
      <w:r w:rsidRPr="00B60938">
        <w:t>GGPPS catalyzed reactions. The PPi (or Pi) reacts quantitatively with ammonium heptamolybdate, under acidic conditions, to afford a PPi-molybdate (or Pi-molybdate) complex. These colorless complexes can be converted to stable colored molybdate blue adducts by the addition of reducing agents (bisulfate reagent and 2-mercaptoethanol)</w:t>
      </w:r>
      <w:r w:rsidR="00B94BEC">
        <w:t xml:space="preserve"> [43]</w:t>
      </w:r>
      <w:r w:rsidRPr="00B60938">
        <w:t>. The colored product can be monitored using UV/Vis spectrophotometer (absorption peaks</w:t>
      </w:r>
      <w:r w:rsidRPr="00B60938" w:rsidDel="00F2383B">
        <w:t xml:space="preserve"> </w:t>
      </w:r>
      <w:r w:rsidRPr="00B60938">
        <w:t xml:space="preserve">at </w:t>
      </w:r>
      <w:r w:rsidRPr="00B60938">
        <w:rPr>
          <w:rFonts w:ascii="Symbol" w:hAnsi="Symbol"/>
        </w:rPr>
        <w:t></w:t>
      </w:r>
      <w:r w:rsidRPr="00B60938">
        <w:t xml:space="preserve"> = 615 nm and 846 nm for PPi and Pi, respectively).</w:t>
      </w:r>
    </w:p>
    <w:p w14:paraId="7271B9BF" w14:textId="1C8CE78E" w:rsidR="00303C47" w:rsidRPr="00B60938" w:rsidRDefault="00303C47" w:rsidP="00FA303D">
      <w:pPr>
        <w:pStyle w:val="TAMainText"/>
      </w:pPr>
      <w:bookmarkStart w:id="2" w:name="OLE_LINK1"/>
      <w:r w:rsidRPr="00B60938">
        <w:t>A preliminary assay of the new N-BPs was performed at</w:t>
      </w:r>
      <w:r w:rsidR="00C9722E">
        <w:t xml:space="preserve"> </w:t>
      </w:r>
      <w:r w:rsidRPr="00B60938">
        <w:t xml:space="preserve">100 </w:t>
      </w:r>
      <w:r w:rsidRPr="00B60938">
        <w:rPr>
          <w:rFonts w:hint="eastAsia"/>
        </w:rPr>
        <w:t>μ</w:t>
      </w:r>
      <w:r w:rsidRPr="00B60938">
        <w:t xml:space="preserve">M to evaluate </w:t>
      </w:r>
      <w:r w:rsidRPr="00B60938">
        <w:rPr>
          <w:i/>
        </w:rPr>
        <w:t>h</w:t>
      </w:r>
      <w:r w:rsidRPr="00B60938">
        <w:t xml:space="preserve">FPPS and </w:t>
      </w:r>
      <w:r w:rsidRPr="00B60938">
        <w:rPr>
          <w:i/>
        </w:rPr>
        <w:t>h</w:t>
      </w:r>
      <w:r w:rsidRPr="00B60938">
        <w:t xml:space="preserve">GGPPS </w:t>
      </w:r>
      <w:r w:rsidRPr="00B60938">
        <w:rPr>
          <w:bCs/>
        </w:rPr>
        <w:t>inhibition (%)</w:t>
      </w:r>
      <w:r w:rsidRPr="00B60938">
        <w:t xml:space="preserve"> using </w:t>
      </w:r>
      <w:r w:rsidRPr="00B60938">
        <w:rPr>
          <w:b/>
        </w:rPr>
        <w:t xml:space="preserve">5 </w:t>
      </w:r>
      <w:r w:rsidRPr="00B60938">
        <w:t>(risedronic acid)</w:t>
      </w:r>
      <w:r w:rsidRPr="00B60938">
        <w:rPr>
          <w:b/>
        </w:rPr>
        <w:t xml:space="preserve"> </w:t>
      </w:r>
      <w:r w:rsidRPr="00B60938">
        <w:t xml:space="preserve">and </w:t>
      </w:r>
      <w:r w:rsidRPr="00B60938">
        <w:rPr>
          <w:b/>
        </w:rPr>
        <w:t xml:space="preserve">6 </w:t>
      </w:r>
      <w:r w:rsidRPr="00B60938">
        <w:t>(zoledronic acid) as reference compounds</w:t>
      </w:r>
      <w:bookmarkEnd w:id="2"/>
      <w:r w:rsidRPr="00B60938">
        <w:t xml:space="preserve"> (Table 1). For the </w:t>
      </w:r>
      <w:r w:rsidR="00771E79" w:rsidRPr="00B60938">
        <w:t xml:space="preserve">most </w:t>
      </w:r>
      <w:r w:rsidRPr="00B60938">
        <w:t xml:space="preserve">active compounds </w:t>
      </w:r>
      <w:r w:rsidRPr="00B60938">
        <w:rPr>
          <w:b/>
        </w:rPr>
        <w:t>10</w:t>
      </w:r>
      <w:r w:rsidRPr="00B60938">
        <w:t xml:space="preserve"> and </w:t>
      </w:r>
      <w:r w:rsidRPr="00B60938">
        <w:rPr>
          <w:b/>
        </w:rPr>
        <w:t>15</w:t>
      </w:r>
      <w:r w:rsidRPr="00B60938">
        <w:t>, the corresponding IC</w:t>
      </w:r>
      <w:r w:rsidRPr="00B60938">
        <w:rPr>
          <w:vertAlign w:val="subscript"/>
        </w:rPr>
        <w:t>50</w:t>
      </w:r>
      <w:r w:rsidRPr="00B60938">
        <w:t xml:space="preserve"> values were determined by a curve fitting of residual relative activity versus inhibitor concentration (Figure </w:t>
      </w:r>
      <w:r w:rsidR="00C449A9">
        <w:t>6</w:t>
      </w:r>
      <w:r w:rsidRPr="00B60938">
        <w:t xml:space="preserve">, Table 2). </w:t>
      </w:r>
    </w:p>
    <w:p w14:paraId="0FEFC502" w14:textId="77777777" w:rsidR="00303C47" w:rsidRPr="00B60938" w:rsidRDefault="00303C47" w:rsidP="00313F11">
      <w:pPr>
        <w:pStyle w:val="TAMainText"/>
      </w:pPr>
      <w:r w:rsidRPr="00B60938">
        <w:t xml:space="preserve">Among pyrimidin-2-yl-N-BPs, compound </w:t>
      </w:r>
      <w:r w:rsidRPr="00B60938">
        <w:rPr>
          <w:b/>
        </w:rPr>
        <w:t>10</w:t>
      </w:r>
      <w:r w:rsidRPr="00B60938">
        <w:t xml:space="preserve"> characterized by a pyrimidine ring and a methylenamino spacer, showed a complete inhibition of </w:t>
      </w:r>
      <w:r w:rsidRPr="00B60938">
        <w:rPr>
          <w:i/>
        </w:rPr>
        <w:t>h</w:t>
      </w:r>
      <w:r w:rsidRPr="00B60938">
        <w:t xml:space="preserve">FPPS at 100 µM, whereas </w:t>
      </w:r>
      <w:r w:rsidRPr="00A90710">
        <w:t xml:space="preserve">the elongation of the spacer (compounds </w:t>
      </w:r>
      <w:r w:rsidRPr="00A90710">
        <w:rPr>
          <w:b/>
        </w:rPr>
        <w:t>11</w:t>
      </w:r>
      <w:r w:rsidRPr="00A90710">
        <w:t>-</w:t>
      </w:r>
      <w:r w:rsidRPr="00A90710">
        <w:rPr>
          <w:b/>
        </w:rPr>
        <w:t>13</w:t>
      </w:r>
      <w:r w:rsidRPr="00A90710">
        <w:t>)</w:t>
      </w:r>
      <w:r w:rsidRPr="00A90710">
        <w:rPr>
          <w:b/>
        </w:rPr>
        <w:t xml:space="preserve"> </w:t>
      </w:r>
      <w:r w:rsidRPr="00A90710">
        <w:t>determined a 100-fold reduction of the inhibitory activity</w:t>
      </w:r>
      <w:r w:rsidRPr="00B60938">
        <w:t xml:space="preserve">. Concerning </w:t>
      </w:r>
      <w:r w:rsidRPr="00B60938">
        <w:rPr>
          <w:i/>
        </w:rPr>
        <w:t>h</w:t>
      </w:r>
      <w:r w:rsidRPr="00B60938">
        <w:t xml:space="preserve">GGPPS inhibition, compounds </w:t>
      </w:r>
      <w:r w:rsidRPr="00B60938">
        <w:rPr>
          <w:b/>
        </w:rPr>
        <w:t>10</w:t>
      </w:r>
      <w:r w:rsidRPr="00B60938">
        <w:t>-</w:t>
      </w:r>
      <w:r w:rsidRPr="00B60938">
        <w:rPr>
          <w:b/>
        </w:rPr>
        <w:t>13</w:t>
      </w:r>
      <w:r w:rsidRPr="00B60938">
        <w:t xml:space="preserve"> showed a different pattern of inhibition with </w:t>
      </w:r>
      <w:r w:rsidRPr="00B60938">
        <w:lastRenderedPageBreak/>
        <w:t xml:space="preserve">respect to that observed for </w:t>
      </w:r>
      <w:r w:rsidRPr="00B60938">
        <w:rPr>
          <w:i/>
        </w:rPr>
        <w:t>h</w:t>
      </w:r>
      <w:r w:rsidRPr="00B60938">
        <w:t xml:space="preserve">FPPS. Compound </w:t>
      </w:r>
      <w:r w:rsidRPr="00B60938">
        <w:rPr>
          <w:b/>
        </w:rPr>
        <w:t>10</w:t>
      </w:r>
      <w:r w:rsidRPr="00B60938">
        <w:t xml:space="preserve"> showed the same inhibitory activity of </w:t>
      </w:r>
      <w:r w:rsidRPr="00B60938">
        <w:rPr>
          <w:b/>
        </w:rPr>
        <w:t>11</w:t>
      </w:r>
      <w:r w:rsidRPr="00B60938">
        <w:t xml:space="preserve"> and </w:t>
      </w:r>
      <w:r w:rsidRPr="00B60938">
        <w:rPr>
          <w:b/>
        </w:rPr>
        <w:t>12</w:t>
      </w:r>
      <w:r w:rsidRPr="00B60938">
        <w:t xml:space="preserve">, but was less active than </w:t>
      </w:r>
      <w:r w:rsidRPr="00B60938">
        <w:rPr>
          <w:b/>
        </w:rPr>
        <w:t>13</w:t>
      </w:r>
      <w:r w:rsidRPr="00B60938">
        <w:t xml:space="preserve">. </w:t>
      </w:r>
    </w:p>
    <w:p w14:paraId="7C659180" w14:textId="1CE282A8" w:rsidR="00303C47" w:rsidRPr="00B60938" w:rsidRDefault="00303C47" w:rsidP="00CB7B52">
      <w:pPr>
        <w:pStyle w:val="TAMainText"/>
      </w:pPr>
      <w:r w:rsidRPr="00B60938">
        <w:t xml:space="preserve">As far as the quinazolin-2-yl-N-BPs is concerned, the best </w:t>
      </w:r>
      <w:r w:rsidRPr="00B60938">
        <w:rPr>
          <w:i/>
        </w:rPr>
        <w:t>h</w:t>
      </w:r>
      <w:r w:rsidRPr="00B60938">
        <w:t xml:space="preserve">FPPS inhibitor was </w:t>
      </w:r>
      <w:r w:rsidRPr="00B60938">
        <w:rPr>
          <w:b/>
        </w:rPr>
        <w:t>15</w:t>
      </w:r>
      <w:r w:rsidRPr="00B60938">
        <w:t xml:space="preserve"> [n = 1; inhibition (%) = 79 ± 6], whereas no significant difference in </w:t>
      </w:r>
      <w:r w:rsidRPr="00B60938">
        <w:rPr>
          <w:i/>
        </w:rPr>
        <w:t>h</w:t>
      </w:r>
      <w:r w:rsidRPr="00B60938">
        <w:t xml:space="preserve">FPPS inhibition was observed for the other congeners. Compounds </w:t>
      </w:r>
      <w:r w:rsidRPr="00B60938">
        <w:rPr>
          <w:b/>
        </w:rPr>
        <w:t xml:space="preserve">16 </w:t>
      </w:r>
      <w:r w:rsidRPr="00B60938">
        <w:t>(n = 2) and</w:t>
      </w:r>
      <w:r w:rsidRPr="00B60938">
        <w:rPr>
          <w:b/>
        </w:rPr>
        <w:t xml:space="preserve"> 17</w:t>
      </w:r>
      <w:r w:rsidRPr="00B60938">
        <w:t xml:space="preserve"> (n = 3) were the </w:t>
      </w:r>
      <w:r w:rsidR="00771E79" w:rsidRPr="00B60938">
        <w:t xml:space="preserve">most </w:t>
      </w:r>
      <w:r w:rsidRPr="00B60938">
        <w:t xml:space="preserve">active against </w:t>
      </w:r>
      <w:r w:rsidRPr="00B60938">
        <w:rPr>
          <w:i/>
        </w:rPr>
        <w:t>h</w:t>
      </w:r>
      <w:r w:rsidRPr="00B60938">
        <w:t xml:space="preserve">GGPPS, whose activity was inhibited by 52% and 44%, respectively. The presence of a methyl group, in the side chain of </w:t>
      </w:r>
      <w:r w:rsidRPr="00B60938">
        <w:rPr>
          <w:b/>
        </w:rPr>
        <w:t>18</w:t>
      </w:r>
      <w:r w:rsidRPr="00B60938">
        <w:t xml:space="preserve"> with respect to </w:t>
      </w:r>
      <w:r w:rsidRPr="00B60938">
        <w:rPr>
          <w:b/>
        </w:rPr>
        <w:t>14</w:t>
      </w:r>
      <w:r w:rsidRPr="00B60938">
        <w:t xml:space="preserve">, did not modify the inhibitory effect of </w:t>
      </w:r>
      <w:r w:rsidRPr="00B60938">
        <w:rPr>
          <w:i/>
        </w:rPr>
        <w:t>h</w:t>
      </w:r>
      <w:r w:rsidRPr="00B60938">
        <w:t>FPPS, whereas it led to a complete los</w:t>
      </w:r>
      <w:r w:rsidR="00771E79" w:rsidRPr="00B60938">
        <w:t>s</w:t>
      </w:r>
      <w:r w:rsidRPr="00B60938">
        <w:t xml:space="preserve"> of activity against </w:t>
      </w:r>
      <w:r w:rsidRPr="00B60938">
        <w:rPr>
          <w:i/>
        </w:rPr>
        <w:t>h</w:t>
      </w:r>
      <w:r w:rsidRPr="00B60938">
        <w:t xml:space="preserve">GGPPS. </w:t>
      </w:r>
    </w:p>
    <w:p w14:paraId="5F8BC90B" w14:textId="77777777" w:rsidR="00303C47" w:rsidRPr="00B60938" w:rsidRDefault="00303C47">
      <w:pPr>
        <w:pStyle w:val="TAMainText"/>
      </w:pPr>
      <w:r w:rsidRPr="00B60938">
        <w:t xml:space="preserve">Quinazolin-4-yl derivatives with one or two methylenes as a spacer afforded </w:t>
      </w:r>
      <w:r w:rsidRPr="00B60938">
        <w:rPr>
          <w:b/>
        </w:rPr>
        <w:t>19</w:t>
      </w:r>
      <w:r w:rsidRPr="00B60938">
        <w:t xml:space="preserve"> and </w:t>
      </w:r>
      <w:r w:rsidRPr="00B60938">
        <w:rPr>
          <w:b/>
        </w:rPr>
        <w:t>20</w:t>
      </w:r>
      <w:r w:rsidRPr="00B60938">
        <w:t xml:space="preserve"> that showed a comparable inhibition for both enzymes. Chain elongation decreased by a half the activity on </w:t>
      </w:r>
      <w:r w:rsidRPr="00B60938">
        <w:rPr>
          <w:i/>
        </w:rPr>
        <w:t>h</w:t>
      </w:r>
      <w:r w:rsidRPr="00B60938">
        <w:t xml:space="preserve">FPPS, and a remarkable increase against </w:t>
      </w:r>
      <w:r w:rsidRPr="00B60938">
        <w:rPr>
          <w:i/>
        </w:rPr>
        <w:t>h</w:t>
      </w:r>
      <w:r w:rsidRPr="00B60938">
        <w:t xml:space="preserve">GGPPS was observed for compound </w:t>
      </w:r>
      <w:r w:rsidRPr="00B60938">
        <w:rPr>
          <w:b/>
        </w:rPr>
        <w:t>22</w:t>
      </w:r>
      <w:r w:rsidRPr="00B60938">
        <w:t xml:space="preserve">. Furthermore, the isosteric substitution of a hydrogen atom in compound </w:t>
      </w:r>
      <w:r w:rsidRPr="00B60938">
        <w:rPr>
          <w:b/>
        </w:rPr>
        <w:t xml:space="preserve">19 </w:t>
      </w:r>
      <w:r w:rsidRPr="00B60938">
        <w:t>with a methyl group (</w:t>
      </w:r>
      <w:r w:rsidRPr="00B60938">
        <w:rPr>
          <w:b/>
        </w:rPr>
        <w:t>23</w:t>
      </w:r>
      <w:r w:rsidRPr="00B60938">
        <w:t xml:space="preserve">), resulted in the same inhibitory effect. </w:t>
      </w:r>
    </w:p>
    <w:p w14:paraId="2B8F3E2E" w14:textId="37287480" w:rsidR="00303C47" w:rsidRPr="00737EAF" w:rsidRDefault="00303C47" w:rsidP="00737EAF">
      <w:pPr>
        <w:pStyle w:val="TAMainText"/>
      </w:pPr>
      <w:r w:rsidRPr="00737EAF">
        <w:t xml:space="preserve">Finally, compounds </w:t>
      </w:r>
      <w:r w:rsidRPr="00737EAF">
        <w:rPr>
          <w:b/>
        </w:rPr>
        <w:t>24</w:t>
      </w:r>
      <w:r w:rsidRPr="00737EAF">
        <w:t xml:space="preserve"> and </w:t>
      </w:r>
      <w:r w:rsidRPr="00737EAF">
        <w:rPr>
          <w:b/>
        </w:rPr>
        <w:t>25</w:t>
      </w:r>
      <w:r w:rsidRPr="00737EAF">
        <w:t xml:space="preserve">, bearing a phenyl ring in position 2 on quinazolin-4-yl nucleus, showed a low inhibitor effect on the enzyme </w:t>
      </w:r>
      <w:r w:rsidRPr="00737EAF">
        <w:rPr>
          <w:i/>
        </w:rPr>
        <w:t>h</w:t>
      </w:r>
      <w:r w:rsidRPr="00737EAF">
        <w:t xml:space="preserve">FPPS and </w:t>
      </w:r>
      <w:r w:rsidR="00FC7283" w:rsidRPr="00737EAF">
        <w:t xml:space="preserve">found </w:t>
      </w:r>
      <w:r w:rsidRPr="00737EAF">
        <w:t xml:space="preserve">quite inactive against </w:t>
      </w:r>
      <w:r w:rsidRPr="00737EAF">
        <w:rPr>
          <w:i/>
        </w:rPr>
        <w:t>h</w:t>
      </w:r>
      <w:r w:rsidRPr="00737EAF">
        <w:t xml:space="preserve">GGPPS as well as the compounds </w:t>
      </w:r>
      <w:r w:rsidRPr="00737EAF">
        <w:rPr>
          <w:b/>
        </w:rPr>
        <w:t>26</w:t>
      </w:r>
      <w:r w:rsidRPr="00737EAF">
        <w:t>-</w:t>
      </w:r>
      <w:r w:rsidRPr="00737EAF">
        <w:rPr>
          <w:b/>
        </w:rPr>
        <w:t xml:space="preserve">28, </w:t>
      </w:r>
      <w:r w:rsidRPr="00737EAF">
        <w:t xml:space="preserve">in which the benzothiazole and benzoimidazole rings seem to be detrimental to the both enzymes inhibition activity. </w:t>
      </w:r>
    </w:p>
    <w:p w14:paraId="111F5C2E" w14:textId="303FC3AC" w:rsidR="00192DB5" w:rsidRDefault="00192DB5">
      <w:r>
        <w:br w:type="page"/>
      </w:r>
    </w:p>
    <w:p w14:paraId="19425DB3" w14:textId="77777777" w:rsidR="00303C47" w:rsidRPr="00B60938" w:rsidRDefault="00303C47" w:rsidP="00FA303D">
      <w:pPr>
        <w:jc w:val="both"/>
      </w:pPr>
    </w:p>
    <w:p w14:paraId="7B200DA0" w14:textId="77777777" w:rsidR="00303C47" w:rsidRPr="00B60938" w:rsidRDefault="00303C47" w:rsidP="00E50862">
      <w:pPr>
        <w:pStyle w:val="VCSchemeTitle"/>
        <w:rPr>
          <w:b/>
          <w:bCs/>
        </w:rPr>
      </w:pPr>
      <w:r w:rsidRPr="00B60938">
        <w:rPr>
          <w:b/>
          <w:bCs/>
        </w:rPr>
        <w:t xml:space="preserve">Table 1. </w:t>
      </w:r>
      <w:r w:rsidRPr="00B60938">
        <w:rPr>
          <w:i/>
        </w:rPr>
        <w:t>h</w:t>
      </w:r>
      <w:r w:rsidRPr="00B60938">
        <w:rPr>
          <w:bCs/>
        </w:rPr>
        <w:t xml:space="preserve">FPPS and </w:t>
      </w:r>
      <w:r w:rsidRPr="00B60938">
        <w:rPr>
          <w:i/>
        </w:rPr>
        <w:t>h</w:t>
      </w:r>
      <w:r w:rsidRPr="00B60938">
        <w:rPr>
          <w:bCs/>
        </w:rPr>
        <w:t xml:space="preserve">GGPPS inhibitory activity by </w:t>
      </w:r>
      <w:r w:rsidRPr="00B60938">
        <w:rPr>
          <w:bCs/>
          <w:szCs w:val="24"/>
        </w:rPr>
        <w:t xml:space="preserve">aryl bisphosphonic acids (Ar-N-BPs) </w:t>
      </w:r>
      <w:r w:rsidRPr="00B60938">
        <w:rPr>
          <w:b/>
          <w:bCs/>
          <w:szCs w:val="24"/>
        </w:rPr>
        <w:t>10</w:t>
      </w:r>
      <w:r w:rsidRPr="00B60938">
        <w:rPr>
          <w:bCs/>
          <w:szCs w:val="24"/>
        </w:rPr>
        <w:t>-</w:t>
      </w:r>
      <w:r w:rsidRPr="00B60938">
        <w:rPr>
          <w:b/>
          <w:bCs/>
          <w:szCs w:val="24"/>
        </w:rPr>
        <w:t>28</w:t>
      </w:r>
      <w:r w:rsidRPr="00B60938">
        <w:rPr>
          <w:bCs/>
          <w:szCs w:val="24"/>
        </w:rPr>
        <w:t>, risedronic (</w:t>
      </w:r>
      <w:r w:rsidRPr="00B60938">
        <w:rPr>
          <w:b/>
          <w:bCs/>
          <w:szCs w:val="24"/>
        </w:rPr>
        <w:t>5</w:t>
      </w:r>
      <w:r w:rsidRPr="00B60938">
        <w:rPr>
          <w:bCs/>
          <w:szCs w:val="24"/>
        </w:rPr>
        <w:t>) and zoledronic (</w:t>
      </w:r>
      <w:r w:rsidRPr="00B60938">
        <w:rPr>
          <w:b/>
          <w:bCs/>
          <w:szCs w:val="24"/>
        </w:rPr>
        <w:t>6</w:t>
      </w:r>
      <w:r w:rsidRPr="00B60938">
        <w:rPr>
          <w:bCs/>
          <w:szCs w:val="24"/>
        </w:rPr>
        <w:t>) acid.</w:t>
      </w:r>
    </w:p>
    <w:tbl>
      <w:tblPr>
        <w:tblW w:w="6629" w:type="dxa"/>
        <w:jc w:val="center"/>
        <w:tblLayout w:type="fixed"/>
        <w:tblLook w:val="04A0" w:firstRow="1" w:lastRow="0" w:firstColumn="1" w:lastColumn="0" w:noHBand="0" w:noVBand="1"/>
      </w:tblPr>
      <w:tblGrid>
        <w:gridCol w:w="2093"/>
        <w:gridCol w:w="2126"/>
        <w:gridCol w:w="2410"/>
      </w:tblGrid>
      <w:tr w:rsidR="00303C47" w:rsidRPr="00B60938" w14:paraId="130DD82E" w14:textId="77777777" w:rsidTr="00192DB5">
        <w:trPr>
          <w:trHeight w:val="729"/>
          <w:jc w:val="center"/>
        </w:trPr>
        <w:tc>
          <w:tcPr>
            <w:tcW w:w="2093" w:type="dxa"/>
            <w:tcBorders>
              <w:top w:val="single" w:sz="4" w:space="0" w:color="auto"/>
              <w:bottom w:val="single" w:sz="4" w:space="0" w:color="auto"/>
            </w:tcBorders>
            <w:vAlign w:val="center"/>
          </w:tcPr>
          <w:p w14:paraId="17B7A6D1" w14:textId="77777777" w:rsidR="00303C47" w:rsidRPr="00B60938" w:rsidRDefault="00303C47" w:rsidP="00192DB5">
            <w:pPr>
              <w:jc w:val="both"/>
              <w:rPr>
                <w:b/>
                <w:bCs/>
              </w:rPr>
            </w:pPr>
            <w:r w:rsidRPr="00B60938">
              <w:rPr>
                <w:b/>
                <w:bCs/>
              </w:rPr>
              <w:t>Compound</w:t>
            </w:r>
          </w:p>
        </w:tc>
        <w:tc>
          <w:tcPr>
            <w:tcW w:w="2126" w:type="dxa"/>
            <w:tcBorders>
              <w:top w:val="single" w:sz="4" w:space="0" w:color="auto"/>
              <w:bottom w:val="single" w:sz="4" w:space="0" w:color="auto"/>
            </w:tcBorders>
            <w:vAlign w:val="center"/>
          </w:tcPr>
          <w:p w14:paraId="7B8764C8" w14:textId="77777777" w:rsidR="00303C47" w:rsidRPr="00B60938" w:rsidRDefault="00303C47" w:rsidP="00192DB5">
            <w:pPr>
              <w:jc w:val="both"/>
              <w:rPr>
                <w:b/>
                <w:bCs/>
              </w:rPr>
            </w:pPr>
            <w:r w:rsidRPr="00B60938">
              <w:rPr>
                <w:b/>
                <w:bCs/>
                <w:i/>
              </w:rPr>
              <w:t>h</w:t>
            </w:r>
            <w:r w:rsidRPr="00B60938">
              <w:rPr>
                <w:b/>
                <w:bCs/>
              </w:rPr>
              <w:t>FPPS</w:t>
            </w:r>
          </w:p>
          <w:p w14:paraId="14324A17" w14:textId="77777777" w:rsidR="00303C47" w:rsidRPr="00B60938" w:rsidRDefault="00303C47" w:rsidP="00192DB5">
            <w:pPr>
              <w:jc w:val="both"/>
              <w:rPr>
                <w:b/>
                <w:bCs/>
              </w:rPr>
            </w:pPr>
            <w:r w:rsidRPr="00B60938">
              <w:rPr>
                <w:b/>
                <w:bCs/>
              </w:rPr>
              <w:t>inhibition (%)</w:t>
            </w:r>
            <w:r w:rsidRPr="00B60938">
              <w:rPr>
                <w:b/>
                <w:bCs/>
                <w:vertAlign w:val="superscript"/>
              </w:rPr>
              <w:t>a</w:t>
            </w:r>
          </w:p>
        </w:tc>
        <w:tc>
          <w:tcPr>
            <w:tcW w:w="2410" w:type="dxa"/>
            <w:tcBorders>
              <w:top w:val="single" w:sz="4" w:space="0" w:color="auto"/>
              <w:bottom w:val="single" w:sz="4" w:space="0" w:color="auto"/>
            </w:tcBorders>
            <w:vAlign w:val="center"/>
          </w:tcPr>
          <w:p w14:paraId="68510A87" w14:textId="77777777" w:rsidR="00303C47" w:rsidRPr="00B60938" w:rsidRDefault="00303C47" w:rsidP="00192DB5">
            <w:pPr>
              <w:jc w:val="both"/>
              <w:rPr>
                <w:b/>
                <w:bCs/>
              </w:rPr>
            </w:pPr>
            <w:r w:rsidRPr="00B60938">
              <w:rPr>
                <w:b/>
                <w:bCs/>
                <w:i/>
              </w:rPr>
              <w:t>h</w:t>
            </w:r>
            <w:r w:rsidRPr="00B60938">
              <w:rPr>
                <w:b/>
                <w:bCs/>
              </w:rPr>
              <w:t>GGPPS</w:t>
            </w:r>
          </w:p>
          <w:p w14:paraId="080DC366" w14:textId="77777777" w:rsidR="00303C47" w:rsidRPr="00B60938" w:rsidRDefault="00303C47" w:rsidP="00192DB5">
            <w:pPr>
              <w:jc w:val="both"/>
              <w:rPr>
                <w:b/>
                <w:bCs/>
              </w:rPr>
            </w:pPr>
            <w:r w:rsidRPr="00B60938">
              <w:rPr>
                <w:b/>
                <w:bCs/>
              </w:rPr>
              <w:t>inhibition (%)</w:t>
            </w:r>
            <w:r w:rsidRPr="00B60938">
              <w:rPr>
                <w:b/>
                <w:bCs/>
                <w:vertAlign w:val="superscript"/>
              </w:rPr>
              <w:t>a</w:t>
            </w:r>
          </w:p>
        </w:tc>
      </w:tr>
      <w:tr w:rsidR="00303C47" w:rsidRPr="00B60938" w14:paraId="4EADE19B" w14:textId="77777777" w:rsidTr="00192DB5">
        <w:trPr>
          <w:trHeight w:val="397"/>
          <w:jc w:val="center"/>
        </w:trPr>
        <w:tc>
          <w:tcPr>
            <w:tcW w:w="2093" w:type="dxa"/>
            <w:tcBorders>
              <w:top w:val="single" w:sz="4" w:space="0" w:color="auto"/>
            </w:tcBorders>
            <w:vAlign w:val="center"/>
          </w:tcPr>
          <w:p w14:paraId="152B1210" w14:textId="77777777" w:rsidR="00303C47" w:rsidRPr="00B60938" w:rsidRDefault="00303C47" w:rsidP="00192DB5">
            <w:pPr>
              <w:jc w:val="both"/>
              <w:rPr>
                <w:b/>
                <w:bCs/>
              </w:rPr>
            </w:pPr>
            <w:r w:rsidRPr="00B60938">
              <w:rPr>
                <w:b/>
                <w:bCs/>
              </w:rPr>
              <w:t xml:space="preserve">5 </w:t>
            </w:r>
            <w:r w:rsidRPr="00B60938">
              <w:rPr>
                <w:bCs/>
              </w:rPr>
              <w:t>(RIS)</w:t>
            </w:r>
          </w:p>
        </w:tc>
        <w:tc>
          <w:tcPr>
            <w:tcW w:w="2126" w:type="dxa"/>
            <w:tcBorders>
              <w:top w:val="single" w:sz="4" w:space="0" w:color="auto"/>
            </w:tcBorders>
            <w:vAlign w:val="center"/>
          </w:tcPr>
          <w:p w14:paraId="3060AFE1" w14:textId="77777777" w:rsidR="00303C47" w:rsidRPr="00B60938" w:rsidRDefault="00303C47" w:rsidP="00192DB5">
            <w:pPr>
              <w:jc w:val="both"/>
              <w:rPr>
                <w:bCs/>
              </w:rPr>
            </w:pPr>
            <w:r w:rsidRPr="00B60938">
              <w:rPr>
                <w:bCs/>
              </w:rPr>
              <w:t>93.5 ± 2.5</w:t>
            </w:r>
            <w:r w:rsidRPr="00B60938">
              <w:rPr>
                <w:b/>
                <w:bCs/>
                <w:vertAlign w:val="superscript"/>
              </w:rPr>
              <w:t xml:space="preserve"> b</w:t>
            </w:r>
            <w:r w:rsidRPr="00B60938">
              <w:rPr>
                <w:bCs/>
              </w:rPr>
              <w:t xml:space="preserve"> </w:t>
            </w:r>
          </w:p>
        </w:tc>
        <w:tc>
          <w:tcPr>
            <w:tcW w:w="2410" w:type="dxa"/>
            <w:tcBorders>
              <w:top w:val="single" w:sz="4" w:space="0" w:color="auto"/>
            </w:tcBorders>
            <w:vAlign w:val="center"/>
          </w:tcPr>
          <w:p w14:paraId="084809D5" w14:textId="77777777" w:rsidR="00303C47" w:rsidRPr="00B60938" w:rsidRDefault="00303C47" w:rsidP="00192DB5">
            <w:pPr>
              <w:jc w:val="both"/>
              <w:rPr>
                <w:bCs/>
              </w:rPr>
            </w:pPr>
            <w:r w:rsidRPr="00B60938">
              <w:rPr>
                <w:bCs/>
              </w:rPr>
              <w:t xml:space="preserve">17 ± 7 </w:t>
            </w:r>
          </w:p>
        </w:tc>
      </w:tr>
      <w:tr w:rsidR="00303C47" w:rsidRPr="00B60938" w14:paraId="7D02144A" w14:textId="77777777" w:rsidTr="00192DB5">
        <w:trPr>
          <w:trHeight w:val="397"/>
          <w:jc w:val="center"/>
        </w:trPr>
        <w:tc>
          <w:tcPr>
            <w:tcW w:w="2093" w:type="dxa"/>
            <w:vAlign w:val="center"/>
          </w:tcPr>
          <w:p w14:paraId="7FB4DE1B" w14:textId="77777777" w:rsidR="00303C47" w:rsidRPr="00B60938" w:rsidRDefault="00303C47" w:rsidP="00192DB5">
            <w:pPr>
              <w:jc w:val="both"/>
              <w:rPr>
                <w:b/>
                <w:bCs/>
              </w:rPr>
            </w:pPr>
            <w:r w:rsidRPr="00B60938">
              <w:rPr>
                <w:b/>
                <w:bCs/>
              </w:rPr>
              <w:t xml:space="preserve">6 </w:t>
            </w:r>
            <w:r w:rsidRPr="00B60938">
              <w:rPr>
                <w:bCs/>
              </w:rPr>
              <w:t>(ZOL)</w:t>
            </w:r>
          </w:p>
        </w:tc>
        <w:tc>
          <w:tcPr>
            <w:tcW w:w="2126" w:type="dxa"/>
            <w:vAlign w:val="center"/>
          </w:tcPr>
          <w:p w14:paraId="58B9BA1A" w14:textId="77777777" w:rsidR="00303C47" w:rsidRPr="00B60938" w:rsidRDefault="00303C47" w:rsidP="00192DB5">
            <w:pPr>
              <w:jc w:val="both"/>
              <w:rPr>
                <w:bCs/>
              </w:rPr>
            </w:pPr>
            <w:r w:rsidRPr="00B60938">
              <w:rPr>
                <w:bCs/>
              </w:rPr>
              <w:t>91.1 ± 1.4</w:t>
            </w:r>
            <w:r w:rsidRPr="00B60938">
              <w:rPr>
                <w:b/>
                <w:bCs/>
                <w:vertAlign w:val="superscript"/>
              </w:rPr>
              <w:t xml:space="preserve"> b</w:t>
            </w:r>
            <w:r w:rsidRPr="00B60938">
              <w:rPr>
                <w:bCs/>
              </w:rPr>
              <w:t xml:space="preserve"> </w:t>
            </w:r>
          </w:p>
        </w:tc>
        <w:tc>
          <w:tcPr>
            <w:tcW w:w="2410" w:type="dxa"/>
            <w:vAlign w:val="center"/>
          </w:tcPr>
          <w:p w14:paraId="682560DE" w14:textId="77777777" w:rsidR="00303C47" w:rsidRPr="00B60938" w:rsidRDefault="00303C47" w:rsidP="00192DB5">
            <w:pPr>
              <w:jc w:val="both"/>
              <w:rPr>
                <w:bCs/>
              </w:rPr>
            </w:pPr>
            <w:r w:rsidRPr="00B60938">
              <w:rPr>
                <w:bCs/>
              </w:rPr>
              <w:t xml:space="preserve">38 ± 4 </w:t>
            </w:r>
          </w:p>
        </w:tc>
      </w:tr>
      <w:tr w:rsidR="00303C47" w:rsidRPr="00B60938" w14:paraId="39949805" w14:textId="77777777" w:rsidTr="00192DB5">
        <w:trPr>
          <w:trHeight w:val="397"/>
          <w:jc w:val="center"/>
        </w:trPr>
        <w:tc>
          <w:tcPr>
            <w:tcW w:w="2093" w:type="dxa"/>
            <w:vAlign w:val="center"/>
          </w:tcPr>
          <w:p w14:paraId="53D14D73" w14:textId="77777777" w:rsidR="00303C47" w:rsidRPr="00B60938" w:rsidRDefault="00303C47" w:rsidP="00192DB5">
            <w:pPr>
              <w:jc w:val="both"/>
              <w:rPr>
                <w:b/>
                <w:bCs/>
              </w:rPr>
            </w:pPr>
            <w:r w:rsidRPr="00B60938">
              <w:rPr>
                <w:b/>
                <w:bCs/>
              </w:rPr>
              <w:t>10</w:t>
            </w:r>
          </w:p>
        </w:tc>
        <w:tc>
          <w:tcPr>
            <w:tcW w:w="2126" w:type="dxa"/>
            <w:vAlign w:val="center"/>
          </w:tcPr>
          <w:p w14:paraId="1F950447" w14:textId="77777777" w:rsidR="00303C47" w:rsidRPr="00B60938" w:rsidRDefault="00303C47" w:rsidP="00192DB5">
            <w:pPr>
              <w:jc w:val="both"/>
              <w:rPr>
                <w:bCs/>
              </w:rPr>
            </w:pPr>
            <w:r w:rsidRPr="00B60938">
              <w:rPr>
                <w:bCs/>
              </w:rPr>
              <w:t xml:space="preserve">96 ±3 </w:t>
            </w:r>
          </w:p>
        </w:tc>
        <w:tc>
          <w:tcPr>
            <w:tcW w:w="2410" w:type="dxa"/>
            <w:vAlign w:val="center"/>
          </w:tcPr>
          <w:p w14:paraId="32D1E6EB" w14:textId="77777777" w:rsidR="00303C47" w:rsidRPr="00B60938" w:rsidRDefault="00303C47" w:rsidP="00192DB5">
            <w:pPr>
              <w:jc w:val="both"/>
              <w:rPr>
                <w:bCs/>
              </w:rPr>
            </w:pPr>
            <w:r w:rsidRPr="00B60938">
              <w:rPr>
                <w:bCs/>
              </w:rPr>
              <w:t>20 ± 8</w:t>
            </w:r>
          </w:p>
        </w:tc>
      </w:tr>
      <w:tr w:rsidR="00303C47" w:rsidRPr="00B60938" w14:paraId="0428405D" w14:textId="77777777" w:rsidTr="00192DB5">
        <w:trPr>
          <w:trHeight w:val="397"/>
          <w:jc w:val="center"/>
        </w:trPr>
        <w:tc>
          <w:tcPr>
            <w:tcW w:w="2093" w:type="dxa"/>
            <w:vAlign w:val="center"/>
          </w:tcPr>
          <w:p w14:paraId="1498B8B5" w14:textId="77777777" w:rsidR="00303C47" w:rsidRPr="00B60938" w:rsidRDefault="00303C47" w:rsidP="00192DB5">
            <w:pPr>
              <w:jc w:val="both"/>
              <w:rPr>
                <w:b/>
                <w:bCs/>
              </w:rPr>
            </w:pPr>
            <w:r w:rsidRPr="00B60938">
              <w:rPr>
                <w:b/>
                <w:bCs/>
              </w:rPr>
              <w:t>11</w:t>
            </w:r>
          </w:p>
        </w:tc>
        <w:tc>
          <w:tcPr>
            <w:tcW w:w="2126" w:type="dxa"/>
            <w:vAlign w:val="center"/>
          </w:tcPr>
          <w:p w14:paraId="41F2B6C5" w14:textId="77777777" w:rsidR="00303C47" w:rsidRPr="00B60938" w:rsidRDefault="00303C47" w:rsidP="00192DB5">
            <w:pPr>
              <w:jc w:val="both"/>
              <w:rPr>
                <w:bCs/>
              </w:rPr>
            </w:pPr>
            <w:r w:rsidRPr="00B60938">
              <w:rPr>
                <w:bCs/>
              </w:rPr>
              <w:t>54 ± 4</w:t>
            </w:r>
          </w:p>
        </w:tc>
        <w:tc>
          <w:tcPr>
            <w:tcW w:w="2410" w:type="dxa"/>
            <w:vAlign w:val="center"/>
          </w:tcPr>
          <w:p w14:paraId="175A7431" w14:textId="77777777" w:rsidR="00303C47" w:rsidRPr="00B60938" w:rsidRDefault="00303C47" w:rsidP="00192DB5">
            <w:pPr>
              <w:jc w:val="both"/>
              <w:rPr>
                <w:bCs/>
              </w:rPr>
            </w:pPr>
            <w:r w:rsidRPr="00B60938">
              <w:rPr>
                <w:bCs/>
              </w:rPr>
              <w:t>23 ± 5</w:t>
            </w:r>
          </w:p>
        </w:tc>
      </w:tr>
      <w:tr w:rsidR="00303C47" w:rsidRPr="00B60938" w14:paraId="4BC848CB" w14:textId="77777777" w:rsidTr="00192DB5">
        <w:trPr>
          <w:trHeight w:val="397"/>
          <w:jc w:val="center"/>
        </w:trPr>
        <w:tc>
          <w:tcPr>
            <w:tcW w:w="2093" w:type="dxa"/>
            <w:vAlign w:val="center"/>
          </w:tcPr>
          <w:p w14:paraId="1739EAFB" w14:textId="77777777" w:rsidR="00303C47" w:rsidRPr="00B60938" w:rsidRDefault="00303C47" w:rsidP="00192DB5">
            <w:pPr>
              <w:jc w:val="both"/>
              <w:rPr>
                <w:b/>
                <w:bCs/>
              </w:rPr>
            </w:pPr>
            <w:r w:rsidRPr="00B60938">
              <w:rPr>
                <w:b/>
                <w:bCs/>
              </w:rPr>
              <w:t>12</w:t>
            </w:r>
          </w:p>
        </w:tc>
        <w:tc>
          <w:tcPr>
            <w:tcW w:w="2126" w:type="dxa"/>
            <w:vAlign w:val="center"/>
          </w:tcPr>
          <w:p w14:paraId="23F865B1" w14:textId="77777777" w:rsidR="00303C47" w:rsidRPr="00B60938" w:rsidRDefault="00303C47" w:rsidP="00192DB5">
            <w:pPr>
              <w:jc w:val="both"/>
              <w:rPr>
                <w:bCs/>
              </w:rPr>
            </w:pPr>
            <w:r w:rsidRPr="00B60938">
              <w:rPr>
                <w:bCs/>
              </w:rPr>
              <w:t>43 ± 7</w:t>
            </w:r>
          </w:p>
        </w:tc>
        <w:tc>
          <w:tcPr>
            <w:tcW w:w="2410" w:type="dxa"/>
            <w:vAlign w:val="center"/>
          </w:tcPr>
          <w:p w14:paraId="0B620E39" w14:textId="77777777" w:rsidR="00303C47" w:rsidRPr="00B60938" w:rsidRDefault="00303C47" w:rsidP="00192DB5">
            <w:pPr>
              <w:jc w:val="both"/>
              <w:rPr>
                <w:bCs/>
              </w:rPr>
            </w:pPr>
            <w:r w:rsidRPr="00B60938">
              <w:rPr>
                <w:bCs/>
              </w:rPr>
              <w:t>25 ± 8</w:t>
            </w:r>
          </w:p>
        </w:tc>
      </w:tr>
      <w:tr w:rsidR="00303C47" w:rsidRPr="00B60938" w14:paraId="2EA011FC" w14:textId="77777777" w:rsidTr="00192DB5">
        <w:trPr>
          <w:trHeight w:val="397"/>
          <w:jc w:val="center"/>
        </w:trPr>
        <w:tc>
          <w:tcPr>
            <w:tcW w:w="2093" w:type="dxa"/>
            <w:vAlign w:val="center"/>
          </w:tcPr>
          <w:p w14:paraId="5D9D7467" w14:textId="77777777" w:rsidR="00303C47" w:rsidRPr="00B60938" w:rsidRDefault="00303C47" w:rsidP="00192DB5">
            <w:pPr>
              <w:jc w:val="both"/>
              <w:rPr>
                <w:b/>
                <w:bCs/>
              </w:rPr>
            </w:pPr>
            <w:r w:rsidRPr="00B60938">
              <w:rPr>
                <w:b/>
                <w:bCs/>
              </w:rPr>
              <w:t>13</w:t>
            </w:r>
          </w:p>
        </w:tc>
        <w:tc>
          <w:tcPr>
            <w:tcW w:w="2126" w:type="dxa"/>
            <w:vAlign w:val="center"/>
          </w:tcPr>
          <w:p w14:paraId="7C877964" w14:textId="77777777" w:rsidR="00303C47" w:rsidRPr="00B60938" w:rsidRDefault="00303C47" w:rsidP="00192DB5">
            <w:pPr>
              <w:jc w:val="both"/>
              <w:rPr>
                <w:bCs/>
              </w:rPr>
            </w:pPr>
            <w:r w:rsidRPr="00B60938">
              <w:rPr>
                <w:bCs/>
              </w:rPr>
              <w:t>51 ± 9</w:t>
            </w:r>
          </w:p>
        </w:tc>
        <w:tc>
          <w:tcPr>
            <w:tcW w:w="2410" w:type="dxa"/>
            <w:vAlign w:val="center"/>
          </w:tcPr>
          <w:p w14:paraId="7448F9B2" w14:textId="77777777" w:rsidR="00303C47" w:rsidRPr="00B60938" w:rsidRDefault="00303C47" w:rsidP="00192DB5">
            <w:pPr>
              <w:jc w:val="both"/>
              <w:rPr>
                <w:bCs/>
              </w:rPr>
            </w:pPr>
            <w:r w:rsidRPr="00B60938">
              <w:rPr>
                <w:bCs/>
              </w:rPr>
              <w:t>40 ± 8</w:t>
            </w:r>
          </w:p>
        </w:tc>
      </w:tr>
      <w:tr w:rsidR="00303C47" w:rsidRPr="00B60938" w14:paraId="1F8A3CFE" w14:textId="77777777" w:rsidTr="00192DB5">
        <w:trPr>
          <w:trHeight w:val="397"/>
          <w:jc w:val="center"/>
        </w:trPr>
        <w:tc>
          <w:tcPr>
            <w:tcW w:w="2093" w:type="dxa"/>
            <w:vAlign w:val="center"/>
          </w:tcPr>
          <w:p w14:paraId="4DDEAED0" w14:textId="77777777" w:rsidR="00303C47" w:rsidRPr="00B60938" w:rsidRDefault="00303C47" w:rsidP="00192DB5">
            <w:pPr>
              <w:jc w:val="both"/>
              <w:rPr>
                <w:b/>
                <w:bCs/>
              </w:rPr>
            </w:pPr>
            <w:r w:rsidRPr="00B60938">
              <w:rPr>
                <w:b/>
                <w:bCs/>
              </w:rPr>
              <w:t>14</w:t>
            </w:r>
          </w:p>
        </w:tc>
        <w:tc>
          <w:tcPr>
            <w:tcW w:w="2126" w:type="dxa"/>
            <w:vAlign w:val="center"/>
          </w:tcPr>
          <w:p w14:paraId="72E5393A" w14:textId="77777777" w:rsidR="00303C47" w:rsidRPr="00B60938" w:rsidRDefault="00303C47" w:rsidP="00192DB5">
            <w:pPr>
              <w:jc w:val="both"/>
            </w:pPr>
            <w:r w:rsidRPr="00B60938">
              <w:rPr>
                <w:bCs/>
              </w:rPr>
              <w:t>39.9 ± 1.3</w:t>
            </w:r>
          </w:p>
        </w:tc>
        <w:tc>
          <w:tcPr>
            <w:tcW w:w="2410" w:type="dxa"/>
            <w:vAlign w:val="center"/>
          </w:tcPr>
          <w:p w14:paraId="5ED153D7" w14:textId="77777777" w:rsidR="00303C47" w:rsidRPr="00B60938" w:rsidRDefault="00303C47" w:rsidP="00192DB5">
            <w:pPr>
              <w:jc w:val="both"/>
            </w:pPr>
            <w:r w:rsidRPr="00B60938">
              <w:rPr>
                <w:bCs/>
              </w:rPr>
              <w:t>23.9 ± 2.7</w:t>
            </w:r>
          </w:p>
        </w:tc>
      </w:tr>
      <w:tr w:rsidR="00303C47" w:rsidRPr="00B60938" w14:paraId="2A439832" w14:textId="77777777" w:rsidTr="00192DB5">
        <w:trPr>
          <w:trHeight w:val="397"/>
          <w:jc w:val="center"/>
        </w:trPr>
        <w:tc>
          <w:tcPr>
            <w:tcW w:w="2093" w:type="dxa"/>
            <w:vAlign w:val="center"/>
          </w:tcPr>
          <w:p w14:paraId="1552A69B" w14:textId="77777777" w:rsidR="00303C47" w:rsidRPr="00B60938" w:rsidRDefault="00303C47" w:rsidP="00192DB5">
            <w:pPr>
              <w:jc w:val="both"/>
              <w:rPr>
                <w:b/>
                <w:bCs/>
              </w:rPr>
            </w:pPr>
            <w:r w:rsidRPr="00B60938">
              <w:rPr>
                <w:b/>
                <w:bCs/>
              </w:rPr>
              <w:t>15</w:t>
            </w:r>
          </w:p>
        </w:tc>
        <w:tc>
          <w:tcPr>
            <w:tcW w:w="2126" w:type="dxa"/>
            <w:vAlign w:val="center"/>
          </w:tcPr>
          <w:p w14:paraId="1ECE42FB" w14:textId="77777777" w:rsidR="00303C47" w:rsidRPr="00B60938" w:rsidRDefault="00303C47" w:rsidP="00192DB5">
            <w:pPr>
              <w:jc w:val="both"/>
              <w:rPr>
                <w:bCs/>
              </w:rPr>
            </w:pPr>
            <w:r w:rsidRPr="00B60938">
              <w:rPr>
                <w:bCs/>
              </w:rPr>
              <w:t xml:space="preserve">79 ± 6 </w:t>
            </w:r>
          </w:p>
        </w:tc>
        <w:tc>
          <w:tcPr>
            <w:tcW w:w="2410" w:type="dxa"/>
            <w:vAlign w:val="center"/>
          </w:tcPr>
          <w:p w14:paraId="69EC5346" w14:textId="77777777" w:rsidR="00303C47" w:rsidRPr="00B60938" w:rsidRDefault="00303C47" w:rsidP="00192DB5">
            <w:pPr>
              <w:jc w:val="both"/>
              <w:rPr>
                <w:bCs/>
              </w:rPr>
            </w:pPr>
            <w:r w:rsidRPr="00B60938">
              <w:rPr>
                <w:bCs/>
              </w:rPr>
              <w:t>n.a.</w:t>
            </w:r>
            <w:r w:rsidRPr="00B60938">
              <w:rPr>
                <w:b/>
                <w:bCs/>
                <w:vertAlign w:val="superscript"/>
              </w:rPr>
              <w:t>c</w:t>
            </w:r>
          </w:p>
        </w:tc>
      </w:tr>
      <w:tr w:rsidR="00303C47" w:rsidRPr="00B60938" w14:paraId="21C21DA6" w14:textId="77777777" w:rsidTr="00192DB5">
        <w:trPr>
          <w:trHeight w:val="397"/>
          <w:jc w:val="center"/>
        </w:trPr>
        <w:tc>
          <w:tcPr>
            <w:tcW w:w="2093" w:type="dxa"/>
            <w:vAlign w:val="center"/>
          </w:tcPr>
          <w:p w14:paraId="7E3281FD" w14:textId="77777777" w:rsidR="00303C47" w:rsidRPr="00B60938" w:rsidRDefault="00303C47" w:rsidP="00192DB5">
            <w:pPr>
              <w:jc w:val="both"/>
              <w:rPr>
                <w:b/>
                <w:bCs/>
              </w:rPr>
            </w:pPr>
            <w:r w:rsidRPr="00B60938">
              <w:rPr>
                <w:b/>
                <w:bCs/>
              </w:rPr>
              <w:t>16</w:t>
            </w:r>
          </w:p>
        </w:tc>
        <w:tc>
          <w:tcPr>
            <w:tcW w:w="2126" w:type="dxa"/>
            <w:vAlign w:val="center"/>
          </w:tcPr>
          <w:p w14:paraId="72B1C037" w14:textId="77777777" w:rsidR="00303C47" w:rsidRPr="00B60938" w:rsidRDefault="00303C47" w:rsidP="00192DB5">
            <w:pPr>
              <w:jc w:val="both"/>
            </w:pPr>
            <w:r w:rsidRPr="00B60938">
              <w:rPr>
                <w:bCs/>
              </w:rPr>
              <w:t>30 ± 6</w:t>
            </w:r>
          </w:p>
        </w:tc>
        <w:tc>
          <w:tcPr>
            <w:tcW w:w="2410" w:type="dxa"/>
            <w:vAlign w:val="center"/>
          </w:tcPr>
          <w:p w14:paraId="2828012F" w14:textId="77777777" w:rsidR="00303C47" w:rsidRPr="00B60938" w:rsidRDefault="00303C47" w:rsidP="00192DB5">
            <w:pPr>
              <w:jc w:val="both"/>
            </w:pPr>
            <w:r w:rsidRPr="00B60938">
              <w:rPr>
                <w:bCs/>
              </w:rPr>
              <w:t>52.2 ± 2.8</w:t>
            </w:r>
          </w:p>
        </w:tc>
      </w:tr>
      <w:tr w:rsidR="00303C47" w:rsidRPr="00B60938" w14:paraId="729A1624" w14:textId="77777777" w:rsidTr="00192DB5">
        <w:trPr>
          <w:trHeight w:val="397"/>
          <w:jc w:val="center"/>
        </w:trPr>
        <w:tc>
          <w:tcPr>
            <w:tcW w:w="2093" w:type="dxa"/>
            <w:vAlign w:val="center"/>
          </w:tcPr>
          <w:p w14:paraId="2EF83E46" w14:textId="77777777" w:rsidR="00303C47" w:rsidRPr="00B60938" w:rsidRDefault="00303C47" w:rsidP="00192DB5">
            <w:pPr>
              <w:jc w:val="both"/>
              <w:rPr>
                <w:b/>
                <w:bCs/>
              </w:rPr>
            </w:pPr>
            <w:r w:rsidRPr="00B60938">
              <w:rPr>
                <w:b/>
                <w:bCs/>
              </w:rPr>
              <w:t>17</w:t>
            </w:r>
          </w:p>
        </w:tc>
        <w:tc>
          <w:tcPr>
            <w:tcW w:w="2126" w:type="dxa"/>
            <w:vAlign w:val="center"/>
          </w:tcPr>
          <w:p w14:paraId="0479DC86" w14:textId="77777777" w:rsidR="00303C47" w:rsidRPr="00B60938" w:rsidRDefault="00303C47" w:rsidP="00192DB5">
            <w:pPr>
              <w:jc w:val="both"/>
            </w:pPr>
            <w:r w:rsidRPr="00B60938">
              <w:rPr>
                <w:bCs/>
              </w:rPr>
              <w:t>48 ± 8</w:t>
            </w:r>
          </w:p>
        </w:tc>
        <w:tc>
          <w:tcPr>
            <w:tcW w:w="2410" w:type="dxa"/>
            <w:vAlign w:val="center"/>
          </w:tcPr>
          <w:p w14:paraId="520DB308" w14:textId="77777777" w:rsidR="00303C47" w:rsidRPr="00B60938" w:rsidRDefault="00303C47" w:rsidP="00192DB5">
            <w:pPr>
              <w:jc w:val="both"/>
            </w:pPr>
            <w:r w:rsidRPr="00B60938">
              <w:rPr>
                <w:bCs/>
              </w:rPr>
              <w:t>44 ± 3</w:t>
            </w:r>
          </w:p>
        </w:tc>
      </w:tr>
      <w:tr w:rsidR="00303C47" w:rsidRPr="00B60938" w14:paraId="1E180639" w14:textId="77777777" w:rsidTr="00192DB5">
        <w:trPr>
          <w:trHeight w:val="397"/>
          <w:jc w:val="center"/>
        </w:trPr>
        <w:tc>
          <w:tcPr>
            <w:tcW w:w="2093" w:type="dxa"/>
            <w:vAlign w:val="center"/>
          </w:tcPr>
          <w:p w14:paraId="1C5053EC" w14:textId="77777777" w:rsidR="00303C47" w:rsidRPr="00B60938" w:rsidRDefault="00303C47" w:rsidP="00192DB5">
            <w:pPr>
              <w:jc w:val="both"/>
              <w:rPr>
                <w:b/>
                <w:bCs/>
              </w:rPr>
            </w:pPr>
            <w:r w:rsidRPr="00B60938">
              <w:rPr>
                <w:b/>
                <w:bCs/>
              </w:rPr>
              <w:t>18</w:t>
            </w:r>
          </w:p>
        </w:tc>
        <w:tc>
          <w:tcPr>
            <w:tcW w:w="2126" w:type="dxa"/>
            <w:vAlign w:val="center"/>
          </w:tcPr>
          <w:p w14:paraId="50B04D7D" w14:textId="77777777" w:rsidR="00303C47" w:rsidRPr="00B60938" w:rsidRDefault="00303C47" w:rsidP="00192DB5">
            <w:pPr>
              <w:jc w:val="both"/>
            </w:pPr>
            <w:r w:rsidRPr="00B60938">
              <w:rPr>
                <w:bCs/>
              </w:rPr>
              <w:t>40 ± 6</w:t>
            </w:r>
          </w:p>
        </w:tc>
        <w:tc>
          <w:tcPr>
            <w:tcW w:w="2410" w:type="dxa"/>
            <w:vAlign w:val="center"/>
          </w:tcPr>
          <w:p w14:paraId="16999C90" w14:textId="77777777" w:rsidR="00303C47" w:rsidRPr="00B60938" w:rsidRDefault="00303C47" w:rsidP="00192DB5">
            <w:pPr>
              <w:jc w:val="both"/>
            </w:pPr>
            <w:r w:rsidRPr="00B60938">
              <w:rPr>
                <w:bCs/>
              </w:rPr>
              <w:t>3.3 ± 2.3</w:t>
            </w:r>
          </w:p>
        </w:tc>
      </w:tr>
      <w:tr w:rsidR="00303C47" w:rsidRPr="00B60938" w14:paraId="01C7918A" w14:textId="77777777" w:rsidTr="00192DB5">
        <w:trPr>
          <w:trHeight w:val="397"/>
          <w:jc w:val="center"/>
        </w:trPr>
        <w:tc>
          <w:tcPr>
            <w:tcW w:w="2093" w:type="dxa"/>
            <w:vAlign w:val="center"/>
          </w:tcPr>
          <w:p w14:paraId="1AB37E3E" w14:textId="77777777" w:rsidR="00303C47" w:rsidRPr="00B60938" w:rsidRDefault="00303C47" w:rsidP="00192DB5">
            <w:pPr>
              <w:jc w:val="both"/>
              <w:rPr>
                <w:b/>
                <w:bCs/>
              </w:rPr>
            </w:pPr>
            <w:r w:rsidRPr="00B60938">
              <w:rPr>
                <w:b/>
                <w:bCs/>
              </w:rPr>
              <w:t>19</w:t>
            </w:r>
          </w:p>
        </w:tc>
        <w:tc>
          <w:tcPr>
            <w:tcW w:w="2126" w:type="dxa"/>
            <w:vAlign w:val="center"/>
          </w:tcPr>
          <w:p w14:paraId="72FED993" w14:textId="77777777" w:rsidR="00303C47" w:rsidRPr="00B60938" w:rsidRDefault="00303C47" w:rsidP="00192DB5">
            <w:pPr>
              <w:jc w:val="both"/>
            </w:pPr>
            <w:r w:rsidRPr="00B60938">
              <w:rPr>
                <w:bCs/>
              </w:rPr>
              <w:t>52 ± 6</w:t>
            </w:r>
          </w:p>
        </w:tc>
        <w:tc>
          <w:tcPr>
            <w:tcW w:w="2410" w:type="dxa"/>
            <w:vAlign w:val="center"/>
          </w:tcPr>
          <w:p w14:paraId="35EDE06D" w14:textId="77777777" w:rsidR="00303C47" w:rsidRPr="00B60938" w:rsidRDefault="00303C47" w:rsidP="00192DB5">
            <w:pPr>
              <w:jc w:val="both"/>
            </w:pPr>
            <w:r w:rsidRPr="00B60938">
              <w:rPr>
                <w:bCs/>
              </w:rPr>
              <w:t>25 ± 4</w:t>
            </w:r>
          </w:p>
        </w:tc>
      </w:tr>
      <w:tr w:rsidR="00303C47" w:rsidRPr="00B60938" w14:paraId="42007FC4" w14:textId="77777777" w:rsidTr="00192DB5">
        <w:trPr>
          <w:trHeight w:val="397"/>
          <w:jc w:val="center"/>
        </w:trPr>
        <w:tc>
          <w:tcPr>
            <w:tcW w:w="2093" w:type="dxa"/>
            <w:vAlign w:val="center"/>
          </w:tcPr>
          <w:p w14:paraId="602709BD" w14:textId="77777777" w:rsidR="00303C47" w:rsidRPr="00B60938" w:rsidRDefault="00303C47" w:rsidP="00192DB5">
            <w:pPr>
              <w:jc w:val="both"/>
              <w:rPr>
                <w:b/>
                <w:bCs/>
              </w:rPr>
            </w:pPr>
            <w:r w:rsidRPr="00B60938">
              <w:rPr>
                <w:b/>
                <w:bCs/>
              </w:rPr>
              <w:t>20</w:t>
            </w:r>
          </w:p>
        </w:tc>
        <w:tc>
          <w:tcPr>
            <w:tcW w:w="2126" w:type="dxa"/>
            <w:vAlign w:val="center"/>
          </w:tcPr>
          <w:p w14:paraId="54AD70C0" w14:textId="77777777" w:rsidR="00303C47" w:rsidRPr="00B60938" w:rsidRDefault="00303C47" w:rsidP="00192DB5">
            <w:pPr>
              <w:jc w:val="both"/>
            </w:pPr>
            <w:r w:rsidRPr="00B60938">
              <w:rPr>
                <w:bCs/>
              </w:rPr>
              <w:t>56 ± 9</w:t>
            </w:r>
          </w:p>
        </w:tc>
        <w:tc>
          <w:tcPr>
            <w:tcW w:w="2410" w:type="dxa"/>
            <w:vAlign w:val="center"/>
          </w:tcPr>
          <w:p w14:paraId="1CCB6578" w14:textId="77777777" w:rsidR="00303C47" w:rsidRPr="00B60938" w:rsidRDefault="00303C47" w:rsidP="00192DB5">
            <w:pPr>
              <w:jc w:val="both"/>
            </w:pPr>
            <w:r w:rsidRPr="00B60938">
              <w:rPr>
                <w:bCs/>
              </w:rPr>
              <w:t>38 ± 7</w:t>
            </w:r>
          </w:p>
        </w:tc>
      </w:tr>
      <w:tr w:rsidR="00303C47" w:rsidRPr="00B60938" w14:paraId="584DD87A" w14:textId="77777777" w:rsidTr="00192DB5">
        <w:trPr>
          <w:trHeight w:val="397"/>
          <w:jc w:val="center"/>
        </w:trPr>
        <w:tc>
          <w:tcPr>
            <w:tcW w:w="2093" w:type="dxa"/>
            <w:vAlign w:val="center"/>
          </w:tcPr>
          <w:p w14:paraId="28324D82" w14:textId="77777777" w:rsidR="00303C47" w:rsidRPr="00B60938" w:rsidRDefault="00303C47" w:rsidP="00192DB5">
            <w:pPr>
              <w:jc w:val="both"/>
              <w:rPr>
                <w:b/>
                <w:bCs/>
              </w:rPr>
            </w:pPr>
            <w:r w:rsidRPr="00B60938">
              <w:rPr>
                <w:b/>
                <w:bCs/>
              </w:rPr>
              <w:t>21</w:t>
            </w:r>
          </w:p>
        </w:tc>
        <w:tc>
          <w:tcPr>
            <w:tcW w:w="2126" w:type="dxa"/>
            <w:vAlign w:val="center"/>
          </w:tcPr>
          <w:p w14:paraId="2CD43CC2" w14:textId="77777777" w:rsidR="00303C47" w:rsidRPr="00B60938" w:rsidRDefault="00303C47" w:rsidP="00192DB5">
            <w:pPr>
              <w:jc w:val="both"/>
            </w:pPr>
            <w:r w:rsidRPr="00B60938">
              <w:rPr>
                <w:bCs/>
              </w:rPr>
              <w:t>25 ± 7</w:t>
            </w:r>
          </w:p>
        </w:tc>
        <w:tc>
          <w:tcPr>
            <w:tcW w:w="2410" w:type="dxa"/>
            <w:vAlign w:val="center"/>
          </w:tcPr>
          <w:p w14:paraId="652BB1B8" w14:textId="77777777" w:rsidR="00303C47" w:rsidRPr="00B60938" w:rsidRDefault="00303C47" w:rsidP="00192DB5">
            <w:pPr>
              <w:jc w:val="both"/>
            </w:pPr>
            <w:r w:rsidRPr="00B60938">
              <w:rPr>
                <w:bCs/>
              </w:rPr>
              <w:t>33 ± 6</w:t>
            </w:r>
          </w:p>
        </w:tc>
      </w:tr>
      <w:tr w:rsidR="00303C47" w:rsidRPr="00B60938" w14:paraId="1718143B" w14:textId="77777777" w:rsidTr="00192DB5">
        <w:trPr>
          <w:trHeight w:val="397"/>
          <w:jc w:val="center"/>
        </w:trPr>
        <w:tc>
          <w:tcPr>
            <w:tcW w:w="2093" w:type="dxa"/>
            <w:vAlign w:val="center"/>
          </w:tcPr>
          <w:p w14:paraId="3D76AB18" w14:textId="77777777" w:rsidR="00303C47" w:rsidRPr="00B60938" w:rsidRDefault="00303C47" w:rsidP="00192DB5">
            <w:pPr>
              <w:jc w:val="both"/>
              <w:rPr>
                <w:b/>
                <w:bCs/>
              </w:rPr>
            </w:pPr>
            <w:r w:rsidRPr="00B60938">
              <w:rPr>
                <w:b/>
                <w:bCs/>
              </w:rPr>
              <w:t>22</w:t>
            </w:r>
          </w:p>
        </w:tc>
        <w:tc>
          <w:tcPr>
            <w:tcW w:w="2126" w:type="dxa"/>
            <w:vAlign w:val="center"/>
          </w:tcPr>
          <w:p w14:paraId="0C8E8B58" w14:textId="77777777" w:rsidR="00303C47" w:rsidRPr="00B60938" w:rsidRDefault="00303C47" w:rsidP="00192DB5">
            <w:pPr>
              <w:jc w:val="both"/>
            </w:pPr>
            <w:r w:rsidRPr="00B60938">
              <w:rPr>
                <w:bCs/>
              </w:rPr>
              <w:t>29 ± 12</w:t>
            </w:r>
          </w:p>
        </w:tc>
        <w:tc>
          <w:tcPr>
            <w:tcW w:w="2410" w:type="dxa"/>
            <w:vAlign w:val="center"/>
          </w:tcPr>
          <w:p w14:paraId="5384575B" w14:textId="77777777" w:rsidR="00303C47" w:rsidRPr="00B60938" w:rsidRDefault="00303C47" w:rsidP="00192DB5">
            <w:pPr>
              <w:jc w:val="both"/>
            </w:pPr>
            <w:r w:rsidRPr="00B60938">
              <w:rPr>
                <w:bCs/>
              </w:rPr>
              <w:t>45 ± 7</w:t>
            </w:r>
          </w:p>
        </w:tc>
      </w:tr>
      <w:tr w:rsidR="00303C47" w:rsidRPr="00B60938" w14:paraId="67942277" w14:textId="77777777" w:rsidTr="00192DB5">
        <w:trPr>
          <w:trHeight w:val="397"/>
          <w:jc w:val="center"/>
        </w:trPr>
        <w:tc>
          <w:tcPr>
            <w:tcW w:w="2093" w:type="dxa"/>
            <w:vAlign w:val="center"/>
          </w:tcPr>
          <w:p w14:paraId="11CCCA91" w14:textId="77777777" w:rsidR="00303C47" w:rsidRPr="00B60938" w:rsidRDefault="00303C47" w:rsidP="00192DB5">
            <w:pPr>
              <w:jc w:val="both"/>
              <w:rPr>
                <w:b/>
                <w:bCs/>
              </w:rPr>
            </w:pPr>
            <w:r w:rsidRPr="00B60938">
              <w:rPr>
                <w:b/>
                <w:bCs/>
              </w:rPr>
              <w:t>23</w:t>
            </w:r>
          </w:p>
        </w:tc>
        <w:tc>
          <w:tcPr>
            <w:tcW w:w="2126" w:type="dxa"/>
            <w:vAlign w:val="center"/>
          </w:tcPr>
          <w:p w14:paraId="7883D9D0" w14:textId="77777777" w:rsidR="00303C47" w:rsidRPr="00B60938" w:rsidRDefault="00303C47" w:rsidP="00192DB5">
            <w:pPr>
              <w:jc w:val="both"/>
            </w:pPr>
            <w:r w:rsidRPr="00B60938">
              <w:rPr>
                <w:bCs/>
              </w:rPr>
              <w:t>56 ± 8</w:t>
            </w:r>
          </w:p>
        </w:tc>
        <w:tc>
          <w:tcPr>
            <w:tcW w:w="2410" w:type="dxa"/>
            <w:vAlign w:val="center"/>
          </w:tcPr>
          <w:p w14:paraId="75480927" w14:textId="77777777" w:rsidR="00303C47" w:rsidRPr="00B60938" w:rsidRDefault="00303C47" w:rsidP="00192DB5">
            <w:pPr>
              <w:jc w:val="both"/>
            </w:pPr>
            <w:r w:rsidRPr="00B60938">
              <w:rPr>
                <w:bCs/>
              </w:rPr>
              <w:t>24 ± 5</w:t>
            </w:r>
          </w:p>
        </w:tc>
      </w:tr>
      <w:tr w:rsidR="00303C47" w:rsidRPr="00B60938" w14:paraId="5177078D" w14:textId="77777777" w:rsidTr="00192DB5">
        <w:trPr>
          <w:trHeight w:val="397"/>
          <w:jc w:val="center"/>
        </w:trPr>
        <w:tc>
          <w:tcPr>
            <w:tcW w:w="2093" w:type="dxa"/>
            <w:vAlign w:val="center"/>
          </w:tcPr>
          <w:p w14:paraId="38FB0E77" w14:textId="77777777" w:rsidR="00303C47" w:rsidRPr="00B60938" w:rsidRDefault="00303C47" w:rsidP="00192DB5">
            <w:pPr>
              <w:jc w:val="both"/>
              <w:rPr>
                <w:b/>
                <w:bCs/>
              </w:rPr>
            </w:pPr>
            <w:r w:rsidRPr="00B60938">
              <w:rPr>
                <w:b/>
                <w:bCs/>
              </w:rPr>
              <w:t xml:space="preserve"> 24</w:t>
            </w:r>
          </w:p>
        </w:tc>
        <w:tc>
          <w:tcPr>
            <w:tcW w:w="2126" w:type="dxa"/>
            <w:vAlign w:val="center"/>
          </w:tcPr>
          <w:p w14:paraId="1266BFE7" w14:textId="77777777" w:rsidR="00303C47" w:rsidRPr="00B60938" w:rsidRDefault="00303C47" w:rsidP="00192DB5">
            <w:pPr>
              <w:jc w:val="both"/>
            </w:pPr>
            <w:r w:rsidRPr="00B60938">
              <w:t>21 ± 6</w:t>
            </w:r>
          </w:p>
        </w:tc>
        <w:tc>
          <w:tcPr>
            <w:tcW w:w="2410" w:type="dxa"/>
            <w:vAlign w:val="center"/>
          </w:tcPr>
          <w:p w14:paraId="0ADCBE23" w14:textId="77777777" w:rsidR="00303C47" w:rsidRPr="00B60938" w:rsidRDefault="00303C47" w:rsidP="00192DB5">
            <w:pPr>
              <w:jc w:val="both"/>
              <w:rPr>
                <w:strike/>
              </w:rPr>
            </w:pPr>
            <w:r w:rsidRPr="00B60938">
              <w:rPr>
                <w:bCs/>
              </w:rPr>
              <w:t>n.a.</w:t>
            </w:r>
            <w:r w:rsidRPr="00B60938">
              <w:rPr>
                <w:b/>
                <w:bCs/>
                <w:vertAlign w:val="superscript"/>
              </w:rPr>
              <w:t xml:space="preserve"> c</w:t>
            </w:r>
          </w:p>
        </w:tc>
      </w:tr>
      <w:tr w:rsidR="00303C47" w:rsidRPr="00B60938" w14:paraId="05BD1C5A" w14:textId="77777777" w:rsidTr="00192DB5">
        <w:trPr>
          <w:trHeight w:val="397"/>
          <w:jc w:val="center"/>
        </w:trPr>
        <w:tc>
          <w:tcPr>
            <w:tcW w:w="2093" w:type="dxa"/>
            <w:vAlign w:val="center"/>
          </w:tcPr>
          <w:p w14:paraId="5E6986F6" w14:textId="77777777" w:rsidR="00303C47" w:rsidRPr="00B60938" w:rsidRDefault="00303C47" w:rsidP="00192DB5">
            <w:pPr>
              <w:jc w:val="both"/>
              <w:rPr>
                <w:b/>
                <w:bCs/>
              </w:rPr>
            </w:pPr>
            <w:r w:rsidRPr="00B60938">
              <w:rPr>
                <w:b/>
                <w:bCs/>
              </w:rPr>
              <w:t>25</w:t>
            </w:r>
          </w:p>
        </w:tc>
        <w:tc>
          <w:tcPr>
            <w:tcW w:w="2126" w:type="dxa"/>
            <w:vAlign w:val="center"/>
          </w:tcPr>
          <w:p w14:paraId="116B63F0" w14:textId="77777777" w:rsidR="00303C47" w:rsidRPr="00B60938" w:rsidRDefault="00303C47" w:rsidP="00192DB5">
            <w:pPr>
              <w:jc w:val="both"/>
            </w:pPr>
            <w:r w:rsidRPr="00B60938">
              <w:rPr>
                <w:bCs/>
              </w:rPr>
              <w:t>25 ± 8</w:t>
            </w:r>
          </w:p>
        </w:tc>
        <w:tc>
          <w:tcPr>
            <w:tcW w:w="2410" w:type="dxa"/>
            <w:vAlign w:val="center"/>
          </w:tcPr>
          <w:p w14:paraId="5FE5961F" w14:textId="77777777" w:rsidR="00303C47" w:rsidRPr="00B60938" w:rsidRDefault="00303C47" w:rsidP="00192DB5">
            <w:pPr>
              <w:jc w:val="both"/>
            </w:pPr>
            <w:r w:rsidRPr="00B60938">
              <w:rPr>
                <w:bCs/>
              </w:rPr>
              <w:t>17 ± 7</w:t>
            </w:r>
          </w:p>
        </w:tc>
      </w:tr>
      <w:tr w:rsidR="00303C47" w:rsidRPr="00B60938" w14:paraId="45B337CC" w14:textId="77777777" w:rsidTr="00192DB5">
        <w:trPr>
          <w:trHeight w:val="397"/>
          <w:jc w:val="center"/>
        </w:trPr>
        <w:tc>
          <w:tcPr>
            <w:tcW w:w="2093" w:type="dxa"/>
            <w:vAlign w:val="center"/>
          </w:tcPr>
          <w:p w14:paraId="42F54A30" w14:textId="77777777" w:rsidR="00303C47" w:rsidRPr="00B60938" w:rsidRDefault="00303C47" w:rsidP="00192DB5">
            <w:pPr>
              <w:jc w:val="both"/>
              <w:rPr>
                <w:b/>
                <w:bCs/>
              </w:rPr>
            </w:pPr>
            <w:r w:rsidRPr="00B60938">
              <w:rPr>
                <w:b/>
                <w:bCs/>
              </w:rPr>
              <w:t>26</w:t>
            </w:r>
          </w:p>
        </w:tc>
        <w:tc>
          <w:tcPr>
            <w:tcW w:w="2126" w:type="dxa"/>
            <w:vAlign w:val="center"/>
          </w:tcPr>
          <w:p w14:paraId="572BF4B1" w14:textId="77777777" w:rsidR="00303C47" w:rsidRPr="00B60938" w:rsidRDefault="00303C47" w:rsidP="00192DB5">
            <w:pPr>
              <w:jc w:val="both"/>
            </w:pPr>
            <w:r w:rsidRPr="00B60938">
              <w:rPr>
                <w:bCs/>
              </w:rPr>
              <w:t>24 ± 8</w:t>
            </w:r>
          </w:p>
        </w:tc>
        <w:tc>
          <w:tcPr>
            <w:tcW w:w="2410" w:type="dxa"/>
            <w:vAlign w:val="center"/>
          </w:tcPr>
          <w:p w14:paraId="4C5721A9" w14:textId="77777777" w:rsidR="00303C47" w:rsidRPr="00B60938" w:rsidRDefault="00303C47" w:rsidP="00192DB5">
            <w:pPr>
              <w:jc w:val="both"/>
            </w:pPr>
            <w:r w:rsidRPr="00B60938">
              <w:rPr>
                <w:bCs/>
              </w:rPr>
              <w:t>n.a.</w:t>
            </w:r>
            <w:r w:rsidRPr="00B60938">
              <w:rPr>
                <w:b/>
                <w:bCs/>
                <w:vertAlign w:val="superscript"/>
              </w:rPr>
              <w:t xml:space="preserve"> c</w:t>
            </w:r>
          </w:p>
        </w:tc>
      </w:tr>
      <w:tr w:rsidR="00303C47" w:rsidRPr="00B60938" w14:paraId="52D0338B" w14:textId="77777777" w:rsidTr="00192DB5">
        <w:trPr>
          <w:trHeight w:val="397"/>
          <w:jc w:val="center"/>
        </w:trPr>
        <w:tc>
          <w:tcPr>
            <w:tcW w:w="2093" w:type="dxa"/>
            <w:vAlign w:val="center"/>
          </w:tcPr>
          <w:p w14:paraId="07705A11" w14:textId="77777777" w:rsidR="00303C47" w:rsidRPr="00B60938" w:rsidRDefault="00303C47" w:rsidP="00192DB5">
            <w:pPr>
              <w:jc w:val="both"/>
              <w:rPr>
                <w:b/>
                <w:bCs/>
              </w:rPr>
            </w:pPr>
            <w:r w:rsidRPr="00B60938">
              <w:rPr>
                <w:b/>
                <w:bCs/>
              </w:rPr>
              <w:t>27</w:t>
            </w:r>
          </w:p>
        </w:tc>
        <w:tc>
          <w:tcPr>
            <w:tcW w:w="2126" w:type="dxa"/>
            <w:vAlign w:val="center"/>
          </w:tcPr>
          <w:p w14:paraId="7C3BE031" w14:textId="77777777" w:rsidR="00303C47" w:rsidRPr="00B60938" w:rsidRDefault="00303C47" w:rsidP="00192DB5">
            <w:pPr>
              <w:jc w:val="both"/>
            </w:pPr>
            <w:r w:rsidRPr="00B60938">
              <w:rPr>
                <w:bCs/>
              </w:rPr>
              <w:t>n.a.</w:t>
            </w:r>
            <w:r w:rsidRPr="00B60938">
              <w:rPr>
                <w:b/>
                <w:bCs/>
                <w:vertAlign w:val="superscript"/>
              </w:rPr>
              <w:t xml:space="preserve"> c</w:t>
            </w:r>
          </w:p>
        </w:tc>
        <w:tc>
          <w:tcPr>
            <w:tcW w:w="2410" w:type="dxa"/>
            <w:vAlign w:val="center"/>
          </w:tcPr>
          <w:p w14:paraId="2014A37A" w14:textId="77777777" w:rsidR="00303C47" w:rsidRPr="00B60938" w:rsidRDefault="00303C47" w:rsidP="00192DB5">
            <w:pPr>
              <w:jc w:val="both"/>
              <w:rPr>
                <w:strike/>
              </w:rPr>
            </w:pPr>
            <w:r w:rsidRPr="00B60938">
              <w:rPr>
                <w:bCs/>
              </w:rPr>
              <w:t>n.a.</w:t>
            </w:r>
            <w:r w:rsidRPr="00B60938">
              <w:rPr>
                <w:b/>
                <w:bCs/>
                <w:vertAlign w:val="superscript"/>
              </w:rPr>
              <w:t xml:space="preserve"> c</w:t>
            </w:r>
          </w:p>
        </w:tc>
      </w:tr>
      <w:tr w:rsidR="00303C47" w:rsidRPr="00B60938" w14:paraId="228644F0" w14:textId="77777777" w:rsidTr="00192DB5">
        <w:trPr>
          <w:trHeight w:val="397"/>
          <w:jc w:val="center"/>
        </w:trPr>
        <w:tc>
          <w:tcPr>
            <w:tcW w:w="2093" w:type="dxa"/>
            <w:tcBorders>
              <w:bottom w:val="single" w:sz="4" w:space="0" w:color="auto"/>
            </w:tcBorders>
            <w:vAlign w:val="center"/>
          </w:tcPr>
          <w:p w14:paraId="18564C7E" w14:textId="77777777" w:rsidR="00303C47" w:rsidRPr="00B60938" w:rsidRDefault="00303C47" w:rsidP="00192DB5">
            <w:pPr>
              <w:jc w:val="both"/>
              <w:rPr>
                <w:b/>
                <w:bCs/>
              </w:rPr>
            </w:pPr>
            <w:r w:rsidRPr="00B60938">
              <w:rPr>
                <w:b/>
                <w:bCs/>
              </w:rPr>
              <w:t>28</w:t>
            </w:r>
          </w:p>
        </w:tc>
        <w:tc>
          <w:tcPr>
            <w:tcW w:w="2126" w:type="dxa"/>
            <w:tcBorders>
              <w:bottom w:val="single" w:sz="4" w:space="0" w:color="auto"/>
            </w:tcBorders>
            <w:vAlign w:val="center"/>
          </w:tcPr>
          <w:p w14:paraId="41C12DF4" w14:textId="77777777" w:rsidR="00303C47" w:rsidRPr="00B60938" w:rsidRDefault="00303C47" w:rsidP="00192DB5">
            <w:pPr>
              <w:jc w:val="both"/>
            </w:pPr>
            <w:r w:rsidRPr="00B60938">
              <w:rPr>
                <w:bCs/>
              </w:rPr>
              <w:t>26 ± 9</w:t>
            </w:r>
          </w:p>
        </w:tc>
        <w:tc>
          <w:tcPr>
            <w:tcW w:w="2410" w:type="dxa"/>
            <w:tcBorders>
              <w:bottom w:val="single" w:sz="4" w:space="0" w:color="auto"/>
            </w:tcBorders>
            <w:vAlign w:val="center"/>
          </w:tcPr>
          <w:p w14:paraId="2B0CBB9D" w14:textId="77777777" w:rsidR="00303C47" w:rsidRPr="00B60938" w:rsidRDefault="00303C47" w:rsidP="00192DB5">
            <w:pPr>
              <w:jc w:val="both"/>
              <w:rPr>
                <w:strike/>
              </w:rPr>
            </w:pPr>
            <w:r w:rsidRPr="00B60938">
              <w:rPr>
                <w:bCs/>
              </w:rPr>
              <w:t>n.a.</w:t>
            </w:r>
            <w:r w:rsidRPr="00B60938">
              <w:rPr>
                <w:b/>
                <w:bCs/>
                <w:vertAlign w:val="superscript"/>
              </w:rPr>
              <w:t xml:space="preserve"> c</w:t>
            </w:r>
          </w:p>
        </w:tc>
      </w:tr>
    </w:tbl>
    <w:p w14:paraId="140F68EE" w14:textId="77777777" w:rsidR="00303C47" w:rsidRPr="00B60938" w:rsidRDefault="00303C47" w:rsidP="00E50862">
      <w:pPr>
        <w:pStyle w:val="FETableFootnote"/>
        <w:ind w:left="-142" w:firstLine="0"/>
        <w:rPr>
          <w:b/>
          <w:bCs/>
          <w:vertAlign w:val="superscript"/>
        </w:rPr>
      </w:pPr>
    </w:p>
    <w:p w14:paraId="7AE0D075" w14:textId="5E6B2321" w:rsidR="00303C47" w:rsidRPr="00192DB5" w:rsidRDefault="00555F50" w:rsidP="00CB7B52">
      <w:pPr>
        <w:pStyle w:val="FETableFootnote"/>
        <w:spacing w:line="360" w:lineRule="auto"/>
        <w:ind w:firstLine="0"/>
        <w:rPr>
          <w:sz w:val="20"/>
        </w:rPr>
      </w:pPr>
      <w:r w:rsidRPr="00192DB5">
        <w:rPr>
          <w:sz w:val="20"/>
        </w:rPr>
        <w:t xml:space="preserve">Data are means </w:t>
      </w:r>
      <w:r w:rsidRPr="00192DB5">
        <w:rPr>
          <w:rFonts w:cs="Times"/>
          <w:sz w:val="20"/>
        </w:rPr>
        <w:t>±</w:t>
      </w:r>
      <w:r w:rsidRPr="00192DB5">
        <w:rPr>
          <w:sz w:val="20"/>
        </w:rPr>
        <w:t xml:space="preserve"> SD from three independent experiments performed in triplicate; </w:t>
      </w:r>
      <w:r w:rsidR="00303C47" w:rsidRPr="00192DB5">
        <w:rPr>
          <w:b/>
          <w:bCs/>
          <w:sz w:val="20"/>
          <w:vertAlign w:val="superscript"/>
        </w:rPr>
        <w:t>a</w:t>
      </w:r>
      <w:r w:rsidRPr="00192DB5">
        <w:rPr>
          <w:sz w:val="20"/>
        </w:rPr>
        <w:t>t</w:t>
      </w:r>
      <w:r w:rsidR="00303C47" w:rsidRPr="00192DB5">
        <w:rPr>
          <w:sz w:val="20"/>
        </w:rPr>
        <w:t>he inhibition extent of</w:t>
      </w:r>
      <w:r w:rsidR="00303C47" w:rsidRPr="00192DB5">
        <w:rPr>
          <w:i/>
          <w:sz w:val="20"/>
        </w:rPr>
        <w:t xml:space="preserve"> h</w:t>
      </w:r>
      <w:r w:rsidR="00303C47" w:rsidRPr="00192DB5">
        <w:rPr>
          <w:sz w:val="20"/>
        </w:rPr>
        <w:t xml:space="preserve">FPPS and </w:t>
      </w:r>
      <w:r w:rsidR="00303C47" w:rsidRPr="00192DB5">
        <w:rPr>
          <w:i/>
          <w:sz w:val="20"/>
        </w:rPr>
        <w:t>h</w:t>
      </w:r>
      <w:r w:rsidR="00303C47" w:rsidRPr="00192DB5">
        <w:rPr>
          <w:sz w:val="20"/>
        </w:rPr>
        <w:t>GGPPS, expressed as a percentage (%), determined in the presence of 100 µM of the inhibitors with respect to the activity of the enzymes in the absence of any inhibitor</w:t>
      </w:r>
      <w:r w:rsidR="007525B9" w:rsidRPr="00192DB5">
        <w:rPr>
          <w:sz w:val="20"/>
        </w:rPr>
        <w:t xml:space="preserve"> (at 1 </w:t>
      </w:r>
      <w:r w:rsidR="007525B9" w:rsidRPr="00192DB5">
        <w:rPr>
          <w:rFonts w:hint="eastAsia"/>
          <w:sz w:val="20"/>
        </w:rPr>
        <w:t>μ</w:t>
      </w:r>
      <w:r w:rsidR="007525B9" w:rsidRPr="00192DB5">
        <w:rPr>
          <w:sz w:val="20"/>
        </w:rPr>
        <w:t xml:space="preserve">M and 10 </w:t>
      </w:r>
      <w:r w:rsidR="007525B9" w:rsidRPr="00192DB5">
        <w:rPr>
          <w:rFonts w:hint="eastAsia"/>
          <w:sz w:val="20"/>
        </w:rPr>
        <w:t>μ</w:t>
      </w:r>
      <w:r w:rsidR="007525B9" w:rsidRPr="00192DB5">
        <w:rPr>
          <w:sz w:val="20"/>
        </w:rPr>
        <w:t xml:space="preserve">M the </w:t>
      </w:r>
      <w:r w:rsidR="00A41F7D" w:rsidRPr="00192DB5">
        <w:rPr>
          <w:sz w:val="20"/>
        </w:rPr>
        <w:t xml:space="preserve">inhibition values (%) of </w:t>
      </w:r>
      <w:r w:rsidR="00A41F7D" w:rsidRPr="00192DB5">
        <w:rPr>
          <w:b/>
          <w:sz w:val="20"/>
        </w:rPr>
        <w:t>10</w:t>
      </w:r>
      <w:r w:rsidR="00A41F7D" w:rsidRPr="00192DB5">
        <w:rPr>
          <w:sz w:val="20"/>
        </w:rPr>
        <w:t>-</w:t>
      </w:r>
      <w:r w:rsidR="00A41F7D" w:rsidRPr="00192DB5">
        <w:rPr>
          <w:b/>
          <w:sz w:val="20"/>
        </w:rPr>
        <w:t>28</w:t>
      </w:r>
      <w:r w:rsidR="00A41F7D" w:rsidRPr="00192DB5">
        <w:rPr>
          <w:sz w:val="20"/>
        </w:rPr>
        <w:t xml:space="preserve"> ranged from inactive to 68 or 79%, respectively</w:t>
      </w:r>
      <w:r w:rsidRPr="00192DB5">
        <w:rPr>
          <w:sz w:val="20"/>
        </w:rPr>
        <w:t>;</w:t>
      </w:r>
      <w:r w:rsidR="00303C47" w:rsidRPr="00192DB5">
        <w:rPr>
          <w:sz w:val="20"/>
        </w:rPr>
        <w:t xml:space="preserve"> </w:t>
      </w:r>
      <w:r w:rsidR="00303C47" w:rsidRPr="00192DB5">
        <w:rPr>
          <w:b/>
          <w:bCs/>
          <w:sz w:val="20"/>
          <w:vertAlign w:val="superscript"/>
        </w:rPr>
        <w:t>b</w:t>
      </w:r>
      <w:r w:rsidR="00303C47" w:rsidRPr="00192DB5">
        <w:rPr>
          <w:i/>
          <w:sz w:val="20"/>
        </w:rPr>
        <w:t>h</w:t>
      </w:r>
      <w:r w:rsidR="00303C47" w:rsidRPr="00192DB5">
        <w:rPr>
          <w:rFonts w:cs="Times"/>
          <w:sz w:val="20"/>
        </w:rPr>
        <w:t xml:space="preserve">FPPS percentage of inhibition at 1 </w:t>
      </w:r>
      <w:r w:rsidR="00303C47" w:rsidRPr="00192DB5">
        <w:rPr>
          <w:rFonts w:ascii="Symbol" w:hAnsi="Symbol" w:cs="Times"/>
          <w:sz w:val="20"/>
        </w:rPr>
        <w:t></w:t>
      </w:r>
      <w:r w:rsidR="00303C47" w:rsidRPr="00192DB5">
        <w:rPr>
          <w:rFonts w:cs="Times"/>
          <w:sz w:val="20"/>
        </w:rPr>
        <w:t xml:space="preserve">M final concentration </w:t>
      </w:r>
      <w:r w:rsidR="00303C47" w:rsidRPr="00192DB5">
        <w:rPr>
          <w:rFonts w:cs="Times"/>
          <w:b/>
          <w:sz w:val="20"/>
        </w:rPr>
        <w:t xml:space="preserve">5 </w:t>
      </w:r>
      <w:r w:rsidR="00303C47" w:rsidRPr="00192DB5">
        <w:rPr>
          <w:rFonts w:cs="Times"/>
          <w:sz w:val="20"/>
        </w:rPr>
        <w:t xml:space="preserve">(risedronic acid) and </w:t>
      </w:r>
      <w:r w:rsidR="00303C47" w:rsidRPr="00192DB5">
        <w:rPr>
          <w:rFonts w:cs="Times"/>
          <w:b/>
          <w:sz w:val="20"/>
        </w:rPr>
        <w:t xml:space="preserve">6 </w:t>
      </w:r>
      <w:r w:rsidR="00303C47" w:rsidRPr="00192DB5">
        <w:rPr>
          <w:rFonts w:cs="Times"/>
          <w:sz w:val="20"/>
        </w:rPr>
        <w:t xml:space="preserve">(zoledronic acid); </w:t>
      </w:r>
      <w:r w:rsidR="00303C47" w:rsidRPr="00192DB5">
        <w:rPr>
          <w:b/>
          <w:bCs/>
          <w:sz w:val="20"/>
          <w:vertAlign w:val="superscript"/>
        </w:rPr>
        <w:t>c</w:t>
      </w:r>
      <w:r w:rsidR="00303C47" w:rsidRPr="00192DB5">
        <w:rPr>
          <w:bCs/>
          <w:sz w:val="20"/>
        </w:rPr>
        <w:t xml:space="preserve">n.a. </w:t>
      </w:r>
      <w:r w:rsidR="00303C47" w:rsidRPr="00192DB5">
        <w:rPr>
          <w:sz w:val="20"/>
        </w:rPr>
        <w:t xml:space="preserve">= not active. </w:t>
      </w:r>
    </w:p>
    <w:p w14:paraId="1DAA1915" w14:textId="77777777" w:rsidR="00303C47" w:rsidRPr="00B60938" w:rsidRDefault="00303C47" w:rsidP="00CB7B52">
      <w:pPr>
        <w:jc w:val="center"/>
      </w:pPr>
      <w:r w:rsidRPr="00B60938">
        <w:rPr>
          <w:noProof/>
          <w:lang w:eastAsia="en-US"/>
        </w:rPr>
        <w:lastRenderedPageBreak/>
        <w:drawing>
          <wp:inline distT="0" distB="0" distL="0" distR="0" wp14:anchorId="0EB8C7EC" wp14:editId="61DA72FD">
            <wp:extent cx="4318000" cy="3048000"/>
            <wp:effectExtent l="0" t="0" r="0" b="0"/>
            <wp:docPr id="44" name="Immagine 44" descr=":Figure1_curve IC5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igure1_curve IC50.pdf"/>
                    <pic:cNvPicPr>
                      <a:picLocks noChangeAspect="1" noChangeArrowheads="1"/>
                    </pic:cNvPicPr>
                  </pic:nvPicPr>
                  <pic:blipFill>
                    <a:blip r:embed="rId28"/>
                    <a:srcRect/>
                    <a:stretch>
                      <a:fillRect/>
                    </a:stretch>
                  </pic:blipFill>
                  <pic:spPr bwMode="auto">
                    <a:xfrm>
                      <a:off x="0" y="0"/>
                      <a:ext cx="4318000" cy="3048000"/>
                    </a:xfrm>
                    <a:prstGeom prst="rect">
                      <a:avLst/>
                    </a:prstGeom>
                    <a:noFill/>
                    <a:ln w="9525">
                      <a:noFill/>
                      <a:miter lim="800000"/>
                      <a:headEnd/>
                      <a:tailEnd/>
                    </a:ln>
                  </pic:spPr>
                </pic:pic>
              </a:graphicData>
            </a:graphic>
          </wp:inline>
        </w:drawing>
      </w:r>
    </w:p>
    <w:p w14:paraId="540AA571" w14:textId="649BE35D" w:rsidR="00303C47" w:rsidRPr="00192DB5" w:rsidRDefault="00303C47" w:rsidP="00CB7B52">
      <w:pPr>
        <w:pStyle w:val="VAFigureCaption"/>
        <w:spacing w:line="276" w:lineRule="auto"/>
        <w:rPr>
          <w:sz w:val="20"/>
        </w:rPr>
      </w:pPr>
      <w:r w:rsidRPr="00192DB5">
        <w:rPr>
          <w:b/>
          <w:sz w:val="20"/>
        </w:rPr>
        <w:t xml:space="preserve">Figure </w:t>
      </w:r>
      <w:r w:rsidR="00C449A9" w:rsidRPr="00192DB5">
        <w:rPr>
          <w:b/>
          <w:sz w:val="20"/>
        </w:rPr>
        <w:t>6</w:t>
      </w:r>
      <w:r w:rsidRPr="00192DB5">
        <w:rPr>
          <w:b/>
          <w:sz w:val="20"/>
        </w:rPr>
        <w:t xml:space="preserve">. </w:t>
      </w:r>
      <w:r w:rsidR="00E917DD" w:rsidRPr="00192DB5">
        <w:rPr>
          <w:i/>
          <w:sz w:val="20"/>
        </w:rPr>
        <w:t>h</w:t>
      </w:r>
      <w:r w:rsidR="00E917DD" w:rsidRPr="00192DB5">
        <w:rPr>
          <w:sz w:val="20"/>
        </w:rPr>
        <w:t xml:space="preserve">FPPS residual activity </w:t>
      </w:r>
      <w:r w:rsidR="00E917DD" w:rsidRPr="00192DB5">
        <w:rPr>
          <w:i/>
          <w:sz w:val="20"/>
        </w:rPr>
        <w:t>vs</w:t>
      </w:r>
      <w:r w:rsidR="00E917DD" w:rsidRPr="00192DB5">
        <w:rPr>
          <w:sz w:val="20"/>
        </w:rPr>
        <w:t xml:space="preserve"> inhibitor concentration. </w:t>
      </w:r>
      <w:r w:rsidRPr="00192DB5">
        <w:rPr>
          <w:i/>
          <w:sz w:val="20"/>
        </w:rPr>
        <w:t>h</w:t>
      </w:r>
      <w:r w:rsidRPr="00192DB5">
        <w:rPr>
          <w:sz w:val="20"/>
        </w:rPr>
        <w:t xml:space="preserve">FPPS </w:t>
      </w:r>
      <w:r w:rsidR="00E917DD" w:rsidRPr="00192DB5">
        <w:rPr>
          <w:sz w:val="20"/>
        </w:rPr>
        <w:t xml:space="preserve">inhibition </w:t>
      </w:r>
      <w:r w:rsidRPr="00192DB5">
        <w:rPr>
          <w:sz w:val="20"/>
        </w:rPr>
        <w:t xml:space="preserve">by </w:t>
      </w:r>
      <w:r w:rsidRPr="00192DB5">
        <w:rPr>
          <w:b/>
          <w:sz w:val="20"/>
        </w:rPr>
        <w:t>10</w:t>
      </w:r>
      <w:r w:rsidRPr="00192DB5">
        <w:rPr>
          <w:sz w:val="20"/>
        </w:rPr>
        <w:t xml:space="preserve">, </w:t>
      </w:r>
      <w:r w:rsidRPr="00192DB5">
        <w:rPr>
          <w:b/>
          <w:sz w:val="20"/>
        </w:rPr>
        <w:t>15</w:t>
      </w:r>
      <w:r w:rsidRPr="00192DB5">
        <w:rPr>
          <w:sz w:val="20"/>
        </w:rPr>
        <w:t xml:space="preserve"> and reference compounds </w:t>
      </w:r>
      <w:r w:rsidRPr="00192DB5">
        <w:rPr>
          <w:b/>
          <w:sz w:val="20"/>
        </w:rPr>
        <w:t>5</w:t>
      </w:r>
      <w:r w:rsidRPr="00192DB5">
        <w:rPr>
          <w:sz w:val="20"/>
        </w:rPr>
        <w:t xml:space="preserve"> and</w:t>
      </w:r>
      <w:r w:rsidR="00E917DD" w:rsidRPr="00192DB5">
        <w:rPr>
          <w:sz w:val="20"/>
        </w:rPr>
        <w:t xml:space="preserve"> </w:t>
      </w:r>
      <w:r w:rsidRPr="00192DB5">
        <w:rPr>
          <w:b/>
          <w:sz w:val="20"/>
        </w:rPr>
        <w:t>6</w:t>
      </w:r>
      <w:r w:rsidRPr="00192DB5">
        <w:rPr>
          <w:sz w:val="20"/>
        </w:rPr>
        <w:t>.</w:t>
      </w:r>
    </w:p>
    <w:p w14:paraId="3779B026" w14:textId="77777777" w:rsidR="00303C47" w:rsidRPr="00192DB5" w:rsidRDefault="00303C47" w:rsidP="00BA1AC8">
      <w:pPr>
        <w:pStyle w:val="VCSchemeTitle"/>
        <w:spacing w:line="240" w:lineRule="auto"/>
        <w:rPr>
          <w:b/>
          <w:bCs/>
          <w:sz w:val="20"/>
        </w:rPr>
      </w:pPr>
    </w:p>
    <w:p w14:paraId="52678250" w14:textId="77777777" w:rsidR="00303C47" w:rsidRPr="00192DB5" w:rsidRDefault="00303C47" w:rsidP="00C75139">
      <w:pPr>
        <w:pStyle w:val="VCSchemeTitle"/>
        <w:tabs>
          <w:tab w:val="left" w:pos="0"/>
        </w:tabs>
        <w:spacing w:line="240" w:lineRule="auto"/>
        <w:rPr>
          <w:b/>
          <w:bCs/>
          <w:sz w:val="20"/>
        </w:rPr>
      </w:pPr>
      <w:r w:rsidRPr="00192DB5">
        <w:rPr>
          <w:b/>
          <w:bCs/>
          <w:sz w:val="20"/>
        </w:rPr>
        <w:t xml:space="preserve">Table 2. </w:t>
      </w:r>
      <w:r w:rsidRPr="00192DB5">
        <w:rPr>
          <w:i/>
          <w:sz w:val="20"/>
        </w:rPr>
        <w:t>h</w:t>
      </w:r>
      <w:r w:rsidRPr="00192DB5">
        <w:rPr>
          <w:bCs/>
          <w:sz w:val="20"/>
        </w:rPr>
        <w:t>FPPS IC</w:t>
      </w:r>
      <w:r w:rsidRPr="00192DB5">
        <w:rPr>
          <w:bCs/>
          <w:sz w:val="20"/>
          <w:vertAlign w:val="subscript"/>
        </w:rPr>
        <w:t>50</w:t>
      </w:r>
      <w:r w:rsidRPr="00192DB5">
        <w:rPr>
          <w:bCs/>
          <w:sz w:val="20"/>
        </w:rPr>
        <w:t xml:space="preserve"> </w:t>
      </w:r>
      <w:r w:rsidRPr="00192DB5">
        <w:rPr>
          <w:sz w:val="20"/>
        </w:rPr>
        <w:t xml:space="preserve">values of </w:t>
      </w:r>
      <w:r w:rsidRPr="00192DB5">
        <w:rPr>
          <w:b/>
          <w:sz w:val="20"/>
        </w:rPr>
        <w:t>5</w:t>
      </w:r>
      <w:r w:rsidRPr="00192DB5">
        <w:rPr>
          <w:sz w:val="20"/>
        </w:rPr>
        <w:t>-</w:t>
      </w:r>
      <w:r w:rsidRPr="00192DB5">
        <w:rPr>
          <w:b/>
          <w:sz w:val="20"/>
        </w:rPr>
        <w:t>6</w:t>
      </w:r>
      <w:r w:rsidRPr="00192DB5">
        <w:rPr>
          <w:sz w:val="20"/>
        </w:rPr>
        <w:t xml:space="preserve">, </w:t>
      </w:r>
      <w:r w:rsidRPr="00192DB5">
        <w:rPr>
          <w:b/>
          <w:sz w:val="20"/>
        </w:rPr>
        <w:t>10</w:t>
      </w:r>
      <w:r w:rsidRPr="00192DB5">
        <w:rPr>
          <w:sz w:val="20"/>
        </w:rPr>
        <w:t xml:space="preserve"> and</w:t>
      </w:r>
      <w:r w:rsidRPr="00192DB5">
        <w:rPr>
          <w:b/>
          <w:sz w:val="20"/>
        </w:rPr>
        <w:t xml:space="preserve"> 15.</w:t>
      </w:r>
    </w:p>
    <w:tbl>
      <w:tblPr>
        <w:tblpPr w:leftFromText="141" w:rightFromText="141" w:vertAnchor="text" w:tblpXSpec="center" w:tblpY="1"/>
        <w:tblOverlap w:val="never"/>
        <w:tblW w:w="5407" w:type="dxa"/>
        <w:tblLook w:val="04A0" w:firstRow="1" w:lastRow="0" w:firstColumn="1" w:lastColumn="0" w:noHBand="0" w:noVBand="1"/>
      </w:tblPr>
      <w:tblGrid>
        <w:gridCol w:w="3025"/>
        <w:gridCol w:w="2382"/>
      </w:tblGrid>
      <w:tr w:rsidR="00303C47" w:rsidRPr="00B60938" w14:paraId="15526FDF" w14:textId="77777777" w:rsidTr="00510018">
        <w:trPr>
          <w:trHeight w:val="408"/>
        </w:trPr>
        <w:tc>
          <w:tcPr>
            <w:tcW w:w="3025" w:type="dxa"/>
            <w:tcBorders>
              <w:top w:val="single" w:sz="4" w:space="0" w:color="auto"/>
              <w:bottom w:val="single" w:sz="4" w:space="0" w:color="auto"/>
            </w:tcBorders>
            <w:vAlign w:val="center"/>
          </w:tcPr>
          <w:p w14:paraId="67FF0F1A" w14:textId="77777777" w:rsidR="00303C47" w:rsidRPr="00B60938" w:rsidRDefault="00303C47" w:rsidP="00CB7B52">
            <w:pPr>
              <w:jc w:val="both"/>
              <w:rPr>
                <w:b/>
                <w:bCs/>
              </w:rPr>
            </w:pPr>
            <w:r w:rsidRPr="00B60938">
              <w:rPr>
                <w:b/>
                <w:bCs/>
              </w:rPr>
              <w:t>Compound</w:t>
            </w:r>
          </w:p>
        </w:tc>
        <w:tc>
          <w:tcPr>
            <w:tcW w:w="2382" w:type="dxa"/>
            <w:tcBorders>
              <w:top w:val="single" w:sz="4" w:space="0" w:color="auto"/>
              <w:bottom w:val="single" w:sz="4" w:space="0" w:color="auto"/>
            </w:tcBorders>
            <w:vAlign w:val="center"/>
          </w:tcPr>
          <w:p w14:paraId="3EF342B2" w14:textId="77777777" w:rsidR="00303C47" w:rsidRPr="00B60938" w:rsidRDefault="00303C47" w:rsidP="00CB7B52">
            <w:pPr>
              <w:jc w:val="both"/>
              <w:rPr>
                <w:b/>
                <w:bCs/>
              </w:rPr>
            </w:pPr>
            <w:r w:rsidRPr="00B60938">
              <w:rPr>
                <w:b/>
                <w:bCs/>
              </w:rPr>
              <w:t>IC</w:t>
            </w:r>
            <w:r w:rsidRPr="00B60938">
              <w:rPr>
                <w:b/>
                <w:bCs/>
                <w:vertAlign w:val="subscript"/>
              </w:rPr>
              <w:t>50</w:t>
            </w:r>
            <w:r w:rsidRPr="00B60938">
              <w:rPr>
                <w:b/>
                <w:bCs/>
              </w:rPr>
              <w:t xml:space="preserve"> (µM)</w:t>
            </w:r>
            <w:r w:rsidRPr="00B60938">
              <w:rPr>
                <w:b/>
                <w:vertAlign w:val="superscript"/>
              </w:rPr>
              <w:t xml:space="preserve"> a</w:t>
            </w:r>
          </w:p>
        </w:tc>
      </w:tr>
      <w:tr w:rsidR="00303C47" w:rsidRPr="00B60938" w14:paraId="4F53F91B" w14:textId="77777777" w:rsidTr="00510018">
        <w:trPr>
          <w:trHeight w:val="408"/>
        </w:trPr>
        <w:tc>
          <w:tcPr>
            <w:tcW w:w="3025" w:type="dxa"/>
            <w:tcBorders>
              <w:top w:val="single" w:sz="4" w:space="0" w:color="auto"/>
            </w:tcBorders>
            <w:vAlign w:val="center"/>
          </w:tcPr>
          <w:p w14:paraId="169A8340" w14:textId="77777777" w:rsidR="00303C47" w:rsidRPr="00B60938" w:rsidRDefault="00303C47" w:rsidP="00CB7B52">
            <w:pPr>
              <w:jc w:val="both"/>
              <w:rPr>
                <w:bCs/>
              </w:rPr>
            </w:pPr>
            <w:r w:rsidRPr="00B60938">
              <w:rPr>
                <w:b/>
                <w:bCs/>
              </w:rPr>
              <w:t xml:space="preserve">5 </w:t>
            </w:r>
            <w:r w:rsidRPr="00B60938">
              <w:rPr>
                <w:bCs/>
              </w:rPr>
              <w:t>(RIS)</w:t>
            </w:r>
          </w:p>
        </w:tc>
        <w:tc>
          <w:tcPr>
            <w:tcW w:w="2382" w:type="dxa"/>
            <w:tcBorders>
              <w:top w:val="single" w:sz="4" w:space="0" w:color="auto"/>
            </w:tcBorders>
            <w:vAlign w:val="center"/>
          </w:tcPr>
          <w:p w14:paraId="40A9DB6F" w14:textId="77777777" w:rsidR="00303C47" w:rsidRPr="00B60938" w:rsidRDefault="00303C47" w:rsidP="00CB7B52">
            <w:pPr>
              <w:jc w:val="both"/>
              <w:rPr>
                <w:b/>
                <w:bCs/>
              </w:rPr>
            </w:pPr>
            <w:r w:rsidRPr="00B60938">
              <w:rPr>
                <w:bCs/>
              </w:rPr>
              <w:t>0.07 ± 0.01</w:t>
            </w:r>
          </w:p>
        </w:tc>
      </w:tr>
      <w:tr w:rsidR="00303C47" w:rsidRPr="00B60938" w14:paraId="1C50C28E" w14:textId="77777777" w:rsidTr="00510018">
        <w:trPr>
          <w:trHeight w:val="408"/>
        </w:trPr>
        <w:tc>
          <w:tcPr>
            <w:tcW w:w="3025" w:type="dxa"/>
            <w:vAlign w:val="center"/>
          </w:tcPr>
          <w:p w14:paraId="63885B18" w14:textId="77777777" w:rsidR="00303C47" w:rsidRPr="00B60938" w:rsidRDefault="00303C47" w:rsidP="00CB7B52">
            <w:pPr>
              <w:jc w:val="both"/>
              <w:rPr>
                <w:bCs/>
              </w:rPr>
            </w:pPr>
            <w:r w:rsidRPr="00B60938">
              <w:rPr>
                <w:b/>
                <w:bCs/>
              </w:rPr>
              <w:t xml:space="preserve">6 </w:t>
            </w:r>
            <w:r w:rsidRPr="00B60938">
              <w:rPr>
                <w:bCs/>
              </w:rPr>
              <w:t>(ZOL)</w:t>
            </w:r>
          </w:p>
        </w:tc>
        <w:tc>
          <w:tcPr>
            <w:tcW w:w="2382" w:type="dxa"/>
            <w:vAlign w:val="center"/>
          </w:tcPr>
          <w:p w14:paraId="011BA334" w14:textId="77777777" w:rsidR="00303C47" w:rsidRPr="00B60938" w:rsidRDefault="00303C47" w:rsidP="00CB7B52">
            <w:pPr>
              <w:jc w:val="both"/>
              <w:rPr>
                <w:b/>
                <w:bCs/>
              </w:rPr>
            </w:pPr>
            <w:r w:rsidRPr="00B60938">
              <w:t>0.06 ± 0.02</w:t>
            </w:r>
          </w:p>
        </w:tc>
      </w:tr>
      <w:tr w:rsidR="00303C47" w:rsidRPr="00B60938" w14:paraId="1C1C9650" w14:textId="77777777" w:rsidTr="00510018">
        <w:trPr>
          <w:trHeight w:val="408"/>
        </w:trPr>
        <w:tc>
          <w:tcPr>
            <w:tcW w:w="3025" w:type="dxa"/>
            <w:vAlign w:val="center"/>
          </w:tcPr>
          <w:p w14:paraId="6144920F" w14:textId="77777777" w:rsidR="00303C47" w:rsidRPr="00B60938" w:rsidRDefault="00303C47" w:rsidP="00CB7B52">
            <w:pPr>
              <w:jc w:val="both"/>
              <w:rPr>
                <w:b/>
                <w:bCs/>
              </w:rPr>
            </w:pPr>
            <w:r w:rsidRPr="00B60938">
              <w:rPr>
                <w:b/>
                <w:bCs/>
              </w:rPr>
              <w:t>10</w:t>
            </w:r>
          </w:p>
        </w:tc>
        <w:tc>
          <w:tcPr>
            <w:tcW w:w="2382" w:type="dxa"/>
            <w:vAlign w:val="center"/>
          </w:tcPr>
          <w:p w14:paraId="1EA431F0" w14:textId="77777777" w:rsidR="00303C47" w:rsidRPr="00B60938" w:rsidRDefault="00303C47" w:rsidP="00CB7B52">
            <w:pPr>
              <w:jc w:val="both"/>
              <w:rPr>
                <w:b/>
                <w:bCs/>
              </w:rPr>
            </w:pPr>
            <w:r w:rsidRPr="00B60938">
              <w:rPr>
                <w:bCs/>
              </w:rPr>
              <w:t>0.31 ± 0.07</w:t>
            </w:r>
          </w:p>
        </w:tc>
      </w:tr>
      <w:tr w:rsidR="00303C47" w:rsidRPr="00B60938" w14:paraId="7E4284D9" w14:textId="77777777" w:rsidTr="00510018">
        <w:trPr>
          <w:trHeight w:val="408"/>
        </w:trPr>
        <w:tc>
          <w:tcPr>
            <w:tcW w:w="3025" w:type="dxa"/>
            <w:tcBorders>
              <w:bottom w:val="single" w:sz="4" w:space="0" w:color="auto"/>
            </w:tcBorders>
            <w:vAlign w:val="center"/>
          </w:tcPr>
          <w:p w14:paraId="0FBF318A" w14:textId="77777777" w:rsidR="00303C47" w:rsidRPr="00B60938" w:rsidRDefault="00303C47" w:rsidP="00CB7B52">
            <w:pPr>
              <w:jc w:val="both"/>
              <w:rPr>
                <w:b/>
                <w:bCs/>
              </w:rPr>
            </w:pPr>
            <w:r w:rsidRPr="00B60938">
              <w:rPr>
                <w:b/>
                <w:bCs/>
              </w:rPr>
              <w:t>15</w:t>
            </w:r>
          </w:p>
        </w:tc>
        <w:tc>
          <w:tcPr>
            <w:tcW w:w="2382" w:type="dxa"/>
            <w:tcBorders>
              <w:bottom w:val="single" w:sz="4" w:space="0" w:color="auto"/>
            </w:tcBorders>
            <w:vAlign w:val="center"/>
          </w:tcPr>
          <w:p w14:paraId="34DC30A2" w14:textId="77777777" w:rsidR="00303C47" w:rsidRPr="00B60938" w:rsidRDefault="00303C47" w:rsidP="00CB7B52">
            <w:pPr>
              <w:jc w:val="both"/>
              <w:rPr>
                <w:b/>
                <w:bCs/>
              </w:rPr>
            </w:pPr>
            <w:r w:rsidRPr="00B60938">
              <w:rPr>
                <w:bCs/>
              </w:rPr>
              <w:t>41 ± 11</w:t>
            </w:r>
          </w:p>
        </w:tc>
      </w:tr>
    </w:tbl>
    <w:p w14:paraId="58EF7C68" w14:textId="77777777" w:rsidR="00303C47" w:rsidRPr="00B60938" w:rsidRDefault="00303C47" w:rsidP="00CB7B52">
      <w:pPr>
        <w:jc w:val="both"/>
        <w:rPr>
          <w:b/>
          <w:vertAlign w:val="superscript"/>
        </w:rPr>
      </w:pPr>
    </w:p>
    <w:p w14:paraId="76847A1E" w14:textId="77777777" w:rsidR="00303C47" w:rsidRPr="00B60938" w:rsidRDefault="00303C47" w:rsidP="00CB7B52">
      <w:pPr>
        <w:jc w:val="both"/>
        <w:rPr>
          <w:b/>
          <w:vertAlign w:val="superscript"/>
        </w:rPr>
      </w:pPr>
    </w:p>
    <w:p w14:paraId="534DD705" w14:textId="77777777" w:rsidR="00303C47" w:rsidRPr="00B60938" w:rsidRDefault="00303C47" w:rsidP="00CB7B52">
      <w:pPr>
        <w:jc w:val="both"/>
        <w:rPr>
          <w:b/>
          <w:vertAlign w:val="superscript"/>
        </w:rPr>
      </w:pPr>
    </w:p>
    <w:p w14:paraId="6C3EBA0C" w14:textId="77777777" w:rsidR="00303C47" w:rsidRPr="00B60938" w:rsidRDefault="00303C47" w:rsidP="00CB7B52">
      <w:pPr>
        <w:jc w:val="both"/>
        <w:rPr>
          <w:b/>
          <w:vertAlign w:val="superscript"/>
        </w:rPr>
      </w:pPr>
    </w:p>
    <w:p w14:paraId="5E19AEC9" w14:textId="77777777" w:rsidR="00732BA5" w:rsidRPr="00B60938" w:rsidRDefault="00732BA5" w:rsidP="00CB7B52">
      <w:pPr>
        <w:jc w:val="both"/>
        <w:rPr>
          <w:b/>
          <w:vertAlign w:val="superscript"/>
        </w:rPr>
      </w:pPr>
    </w:p>
    <w:p w14:paraId="6FC6D21A" w14:textId="77777777" w:rsidR="00E94337" w:rsidRDefault="00E94337" w:rsidP="00CB7B52">
      <w:pPr>
        <w:spacing w:line="360" w:lineRule="auto"/>
        <w:jc w:val="both"/>
        <w:rPr>
          <w:b/>
          <w:vertAlign w:val="superscript"/>
        </w:rPr>
      </w:pPr>
    </w:p>
    <w:p w14:paraId="397723CF" w14:textId="77777777" w:rsidR="00E94337" w:rsidRDefault="00E94337" w:rsidP="00CB7B52">
      <w:pPr>
        <w:spacing w:line="360" w:lineRule="auto"/>
        <w:jc w:val="both"/>
        <w:rPr>
          <w:b/>
          <w:vertAlign w:val="superscript"/>
        </w:rPr>
      </w:pPr>
    </w:p>
    <w:p w14:paraId="3396350F" w14:textId="79F3FE5D" w:rsidR="00303C47" w:rsidRPr="00192DB5" w:rsidRDefault="00303C47" w:rsidP="00CB7B52">
      <w:pPr>
        <w:spacing w:line="360" w:lineRule="auto"/>
        <w:jc w:val="both"/>
        <w:rPr>
          <w:sz w:val="20"/>
          <w:szCs w:val="20"/>
        </w:rPr>
      </w:pPr>
      <w:r w:rsidRPr="00192DB5">
        <w:rPr>
          <w:b/>
          <w:sz w:val="20"/>
          <w:szCs w:val="20"/>
          <w:vertAlign w:val="superscript"/>
        </w:rPr>
        <w:t>a</w:t>
      </w:r>
      <w:r w:rsidR="00C34913" w:rsidRPr="00192DB5">
        <w:rPr>
          <w:sz w:val="20"/>
          <w:szCs w:val="20"/>
        </w:rPr>
        <w:t>IC</w:t>
      </w:r>
      <w:r w:rsidR="00C34913" w:rsidRPr="00192DB5">
        <w:rPr>
          <w:sz w:val="20"/>
          <w:szCs w:val="20"/>
          <w:vertAlign w:val="subscript"/>
        </w:rPr>
        <w:t>50</w:t>
      </w:r>
      <w:r w:rsidR="00C34913" w:rsidRPr="00192DB5">
        <w:rPr>
          <w:sz w:val="20"/>
          <w:szCs w:val="20"/>
        </w:rPr>
        <w:t xml:space="preserve"> values are f</w:t>
      </w:r>
      <w:r w:rsidRPr="00192DB5">
        <w:rPr>
          <w:sz w:val="20"/>
          <w:szCs w:val="20"/>
        </w:rPr>
        <w:t xml:space="preserve">rom </w:t>
      </w:r>
      <w:r w:rsidR="00C34913" w:rsidRPr="00192DB5">
        <w:rPr>
          <w:sz w:val="20"/>
          <w:szCs w:val="20"/>
        </w:rPr>
        <w:t>concentration</w:t>
      </w:r>
      <w:r w:rsidRPr="00192DB5">
        <w:rPr>
          <w:sz w:val="20"/>
          <w:szCs w:val="20"/>
        </w:rPr>
        <w:t xml:space="preserve">-response plots as a mean </w:t>
      </w:r>
      <w:r w:rsidRPr="00192DB5">
        <w:rPr>
          <w:rFonts w:cs="Times"/>
          <w:sz w:val="20"/>
          <w:szCs w:val="20"/>
        </w:rPr>
        <w:t>±</w:t>
      </w:r>
      <w:r w:rsidRPr="00192DB5">
        <w:rPr>
          <w:sz w:val="20"/>
          <w:szCs w:val="20"/>
        </w:rPr>
        <w:t xml:space="preserve"> SD from five independent experiments performed in triplicate.</w:t>
      </w:r>
    </w:p>
    <w:p w14:paraId="2AA5997D" w14:textId="77777777" w:rsidR="00E94337" w:rsidRPr="00E94337" w:rsidRDefault="00E94337" w:rsidP="00CB7B52">
      <w:pPr>
        <w:spacing w:line="360" w:lineRule="auto"/>
        <w:jc w:val="both"/>
      </w:pPr>
    </w:p>
    <w:p w14:paraId="1CFECA35" w14:textId="53A3A81E" w:rsidR="00303C47" w:rsidRPr="00B60938" w:rsidRDefault="00303C47" w:rsidP="009E4114">
      <w:pPr>
        <w:pStyle w:val="TAMainText"/>
      </w:pPr>
      <w:r w:rsidRPr="00B60938">
        <w:t xml:space="preserve">The </w:t>
      </w:r>
      <w:r w:rsidRPr="00B60938">
        <w:rPr>
          <w:i/>
        </w:rPr>
        <w:t>h</w:t>
      </w:r>
      <w:r w:rsidRPr="00B60938">
        <w:rPr>
          <w:bCs/>
        </w:rPr>
        <w:t>FPPS</w:t>
      </w:r>
      <w:r w:rsidRPr="00B60938">
        <w:t xml:space="preserve"> IC</w:t>
      </w:r>
      <w:r w:rsidRPr="00B60938">
        <w:rPr>
          <w:vertAlign w:val="subscript"/>
        </w:rPr>
        <w:t>50</w:t>
      </w:r>
      <w:r w:rsidRPr="00B60938">
        <w:t xml:space="preserve"> values obtained for the reference compounds</w:t>
      </w:r>
      <w:r w:rsidRPr="00B60938">
        <w:rPr>
          <w:b/>
        </w:rPr>
        <w:t xml:space="preserve"> 5 </w:t>
      </w:r>
      <w:r w:rsidRPr="00B60938">
        <w:t xml:space="preserve">and </w:t>
      </w:r>
      <w:r w:rsidRPr="00B60938">
        <w:rPr>
          <w:b/>
        </w:rPr>
        <w:t>6</w:t>
      </w:r>
      <w:r w:rsidRPr="00B60938">
        <w:t xml:space="preserve"> were comparable (IC</w:t>
      </w:r>
      <w:r w:rsidRPr="00B60938">
        <w:rPr>
          <w:vertAlign w:val="subscript"/>
        </w:rPr>
        <w:t xml:space="preserve">50 </w:t>
      </w:r>
      <w:r w:rsidRPr="00B60938">
        <w:t xml:space="preserve">= 0.07 </w:t>
      </w:r>
      <w:r w:rsidRPr="00B60938">
        <w:rPr>
          <w:rFonts w:ascii="Symbol" w:hAnsi="Symbol"/>
        </w:rPr>
        <w:t></w:t>
      </w:r>
      <w:r w:rsidRPr="00B60938">
        <w:rPr>
          <w:rFonts w:cs="Times"/>
        </w:rPr>
        <w:t>M</w:t>
      </w:r>
      <w:r w:rsidRPr="00B60938">
        <w:t xml:space="preserve"> and IC</w:t>
      </w:r>
      <w:r w:rsidRPr="00B60938">
        <w:rPr>
          <w:vertAlign w:val="subscript"/>
        </w:rPr>
        <w:t xml:space="preserve">50 </w:t>
      </w:r>
      <w:r w:rsidRPr="00B60938">
        <w:t xml:space="preserve">= 0.06 </w:t>
      </w:r>
      <w:r w:rsidRPr="00B60938">
        <w:rPr>
          <w:rFonts w:ascii="Symbol" w:hAnsi="Symbol"/>
        </w:rPr>
        <w:t></w:t>
      </w:r>
      <w:r w:rsidRPr="00B60938">
        <w:rPr>
          <w:rFonts w:cs="Times"/>
        </w:rPr>
        <w:t>M</w:t>
      </w:r>
      <w:r w:rsidR="00E75F24" w:rsidRPr="00B60938">
        <w:rPr>
          <w:rFonts w:cs="Times"/>
        </w:rPr>
        <w:t>,</w:t>
      </w:r>
      <w:r w:rsidRPr="00B60938">
        <w:rPr>
          <w:rFonts w:cs="Times"/>
        </w:rPr>
        <w:t xml:space="preserve"> respectively</w:t>
      </w:r>
      <w:r w:rsidRPr="00B60938">
        <w:t>) to already reported data</w:t>
      </w:r>
      <w:r w:rsidR="00FE3EEF">
        <w:t xml:space="preserve"> [37,44,45]</w:t>
      </w:r>
      <w:r w:rsidRPr="00B60938">
        <w:t>.</w:t>
      </w:r>
      <w:r w:rsidRPr="00B60938">
        <w:rPr>
          <w:vertAlign w:val="superscript"/>
        </w:rPr>
        <w:t xml:space="preserve"> </w:t>
      </w:r>
      <w:r w:rsidRPr="00B60938">
        <w:t xml:space="preserve">Among the novel Ar-N-BPs, compound </w:t>
      </w:r>
      <w:r w:rsidRPr="00B60938">
        <w:rPr>
          <w:b/>
        </w:rPr>
        <w:t xml:space="preserve">10 </w:t>
      </w:r>
      <w:r w:rsidRPr="00B60938">
        <w:t>showed</w:t>
      </w:r>
      <w:r w:rsidRPr="00B60938">
        <w:rPr>
          <w:b/>
        </w:rPr>
        <w:t xml:space="preserve"> </w:t>
      </w:r>
      <w:r w:rsidRPr="00B60938">
        <w:t>a potent inhibitor activity in the low micromolar range (IC</w:t>
      </w:r>
      <w:r w:rsidRPr="00B60938">
        <w:rPr>
          <w:vertAlign w:val="subscript"/>
        </w:rPr>
        <w:t xml:space="preserve">50 </w:t>
      </w:r>
      <w:r w:rsidRPr="00B60938">
        <w:t xml:space="preserve">= 0.31 </w:t>
      </w:r>
      <w:r w:rsidRPr="00B60938">
        <w:rPr>
          <w:rFonts w:ascii="Symbol" w:hAnsi="Symbol"/>
        </w:rPr>
        <w:t></w:t>
      </w:r>
      <w:r w:rsidRPr="00B60938">
        <w:rPr>
          <w:rFonts w:cs="Times"/>
        </w:rPr>
        <w:t>M</w:t>
      </w:r>
      <w:r w:rsidRPr="00B60938">
        <w:t xml:space="preserve">), although it is about four times less potent than </w:t>
      </w:r>
      <w:r w:rsidRPr="00B60938">
        <w:rPr>
          <w:b/>
        </w:rPr>
        <w:t>5</w:t>
      </w:r>
      <w:r w:rsidRPr="00B60938">
        <w:t xml:space="preserve"> and </w:t>
      </w:r>
      <w:r w:rsidRPr="00B60938">
        <w:rPr>
          <w:b/>
        </w:rPr>
        <w:t>6</w:t>
      </w:r>
      <w:r w:rsidRPr="00B60938">
        <w:t xml:space="preserve">. Within quinazoline derivatives, compound </w:t>
      </w:r>
      <w:r w:rsidRPr="00B60938">
        <w:rPr>
          <w:b/>
        </w:rPr>
        <w:t>15</w:t>
      </w:r>
      <w:r w:rsidRPr="00B60938">
        <w:t xml:space="preserve"> showed IC</w:t>
      </w:r>
      <w:r w:rsidRPr="00B60938">
        <w:rPr>
          <w:vertAlign w:val="subscript"/>
        </w:rPr>
        <w:t>50</w:t>
      </w:r>
      <w:r w:rsidRPr="00B60938">
        <w:t xml:space="preserve"> = 41 </w:t>
      </w:r>
      <w:r w:rsidRPr="00B60938">
        <w:rPr>
          <w:rFonts w:ascii="Symbol" w:hAnsi="Symbol"/>
        </w:rPr>
        <w:t></w:t>
      </w:r>
      <w:r w:rsidRPr="00B60938">
        <w:t>M, resulting approximately three order of magnitude less active than the reference compounds.</w:t>
      </w:r>
    </w:p>
    <w:p w14:paraId="75A00634" w14:textId="266FF114" w:rsidR="00303C47" w:rsidRPr="00B60938" w:rsidRDefault="00303C47" w:rsidP="009E4114">
      <w:pPr>
        <w:pStyle w:val="TAMainText"/>
        <w:rPr>
          <w:rFonts w:cs="Times"/>
        </w:rPr>
      </w:pPr>
      <w:r w:rsidRPr="00B60938">
        <w:t xml:space="preserve">As far as </w:t>
      </w:r>
      <w:r w:rsidRPr="00B60938">
        <w:rPr>
          <w:i/>
        </w:rPr>
        <w:t>h</w:t>
      </w:r>
      <w:r w:rsidRPr="00B60938">
        <w:t>G</w:t>
      </w:r>
      <w:r w:rsidR="00E75F24" w:rsidRPr="00B60938">
        <w:t>G</w:t>
      </w:r>
      <w:r w:rsidRPr="00B60938">
        <w:t>PPS inhibition is concerned, the</w:t>
      </w:r>
      <w:r w:rsidRPr="00B60938">
        <w:rPr>
          <w:rFonts w:cs="Times"/>
        </w:rPr>
        <w:t xml:space="preserve"> new Ar-N-BPs showed a lower, comparable or higher inhibitory activity than </w:t>
      </w:r>
      <w:r w:rsidRPr="00B60938">
        <w:rPr>
          <w:b/>
        </w:rPr>
        <w:t>5</w:t>
      </w:r>
      <w:r w:rsidRPr="00B60938">
        <w:t xml:space="preserve"> and </w:t>
      </w:r>
      <w:r w:rsidRPr="00B60938">
        <w:rPr>
          <w:b/>
        </w:rPr>
        <w:t>6</w:t>
      </w:r>
      <w:r w:rsidRPr="00B60938">
        <w:t xml:space="preserve"> which showed in our experiments IC</w:t>
      </w:r>
      <w:r w:rsidRPr="00B60938">
        <w:rPr>
          <w:vertAlign w:val="subscript"/>
        </w:rPr>
        <w:t>50</w:t>
      </w:r>
      <w:r w:rsidRPr="00B60938">
        <w:t xml:space="preserve"> values </w:t>
      </w:r>
      <w:r w:rsidRPr="00B60938">
        <w:rPr>
          <w:szCs w:val="24"/>
        </w:rPr>
        <w:t>&gt;100</w:t>
      </w:r>
      <w:r w:rsidRPr="00B60938">
        <w:t xml:space="preserve"> </w:t>
      </w:r>
      <w:r w:rsidRPr="00B60938">
        <w:rPr>
          <w:rFonts w:ascii="Times New Roman" w:hAnsi="Times New Roman"/>
        </w:rPr>
        <w:t>µ</w:t>
      </w:r>
      <w:r w:rsidRPr="00B60938">
        <w:t xml:space="preserve">M </w:t>
      </w:r>
      <w:r w:rsidRPr="00B60938">
        <w:lastRenderedPageBreak/>
        <w:t>consistent with previously published data</w:t>
      </w:r>
      <w:r w:rsidR="00FE3EEF">
        <w:t xml:space="preserve"> [46-48]</w:t>
      </w:r>
      <w:r w:rsidRPr="00B60938">
        <w:t>.</w:t>
      </w:r>
      <w:r w:rsidRPr="00FE3EEF">
        <w:t xml:space="preserve"> </w:t>
      </w:r>
      <w:r w:rsidR="00CF55BB" w:rsidRPr="00B60938">
        <w:rPr>
          <w:rFonts w:cs="Times"/>
        </w:rPr>
        <w:t>Specifically</w:t>
      </w:r>
      <w:r w:rsidRPr="00B60938">
        <w:rPr>
          <w:rFonts w:cs="Times"/>
        </w:rPr>
        <w:t xml:space="preserve">, </w:t>
      </w:r>
      <w:r w:rsidRPr="00B60938">
        <w:rPr>
          <w:rFonts w:cs="Times"/>
          <w:b/>
        </w:rPr>
        <w:t>13</w:t>
      </w:r>
      <w:r w:rsidRPr="00913BF7">
        <w:rPr>
          <w:rFonts w:cs="Times"/>
        </w:rPr>
        <w:t xml:space="preserve">, </w:t>
      </w:r>
      <w:r w:rsidRPr="00E94337">
        <w:rPr>
          <w:rFonts w:cs="Times"/>
          <w:b/>
        </w:rPr>
        <w:t>16</w:t>
      </w:r>
      <w:r w:rsidRPr="00E94337">
        <w:rPr>
          <w:rFonts w:cs="Times"/>
        </w:rPr>
        <w:t xml:space="preserve">, </w:t>
      </w:r>
      <w:r w:rsidRPr="00E94337">
        <w:rPr>
          <w:rFonts w:cs="Times"/>
          <w:b/>
        </w:rPr>
        <w:t>17</w:t>
      </w:r>
      <w:r w:rsidRPr="00E94337">
        <w:rPr>
          <w:rFonts w:cs="Times"/>
        </w:rPr>
        <w:t xml:space="preserve"> and </w:t>
      </w:r>
      <w:r w:rsidRPr="00E94337">
        <w:rPr>
          <w:rFonts w:cs="Times"/>
          <w:b/>
        </w:rPr>
        <w:t>22,</w:t>
      </w:r>
      <w:r w:rsidRPr="00E94337">
        <w:rPr>
          <w:rFonts w:cs="Times"/>
        </w:rPr>
        <w:t xml:space="preserve"> with the longest spacer, were found to </w:t>
      </w:r>
      <w:r w:rsidRPr="00B60938">
        <w:rPr>
          <w:rFonts w:cs="Times"/>
        </w:rPr>
        <w:t>be the most active compounds</w:t>
      </w:r>
      <w:r w:rsidRPr="00B60938">
        <w:t xml:space="preserve"> against </w:t>
      </w:r>
      <w:r w:rsidRPr="00B60938">
        <w:rPr>
          <w:i/>
        </w:rPr>
        <w:t>h</w:t>
      </w:r>
      <w:r w:rsidRPr="00B60938">
        <w:t>GGPPS</w:t>
      </w:r>
      <w:r w:rsidRPr="00B60938">
        <w:rPr>
          <w:rFonts w:cs="Times"/>
        </w:rPr>
        <w:t>.</w:t>
      </w:r>
    </w:p>
    <w:p w14:paraId="171AE683" w14:textId="77777777" w:rsidR="00303C47" w:rsidRPr="00B60938" w:rsidRDefault="00303C47" w:rsidP="00BA1AC8">
      <w:pPr>
        <w:pStyle w:val="TAMainText"/>
        <w:outlineLvl w:val="0"/>
        <w:rPr>
          <w:b/>
        </w:rPr>
      </w:pPr>
    </w:p>
    <w:p w14:paraId="3EEAACAF" w14:textId="4B6E4A24" w:rsidR="00292D9F" w:rsidRPr="00B60938" w:rsidRDefault="00292D9F" w:rsidP="00C75139">
      <w:pPr>
        <w:pStyle w:val="TAMainText"/>
        <w:outlineLvl w:val="0"/>
        <w:rPr>
          <w:b/>
        </w:rPr>
      </w:pPr>
      <w:r w:rsidRPr="00B60938">
        <w:rPr>
          <w:b/>
        </w:rPr>
        <w:t>2.3.</w:t>
      </w:r>
      <w:r w:rsidR="00C449A9">
        <w:rPr>
          <w:b/>
        </w:rPr>
        <w:t>3</w:t>
      </w:r>
      <w:r w:rsidRPr="00B60938">
        <w:rPr>
          <w:b/>
        </w:rPr>
        <w:t xml:space="preserve"> Docking calculations</w:t>
      </w:r>
    </w:p>
    <w:p w14:paraId="4BEF7B1B" w14:textId="77777777" w:rsidR="00292D9F" w:rsidRPr="00B60938" w:rsidRDefault="00292D9F" w:rsidP="00AD47FF">
      <w:pPr>
        <w:pStyle w:val="TAMainText"/>
        <w:outlineLvl w:val="0"/>
      </w:pPr>
      <w:r w:rsidRPr="00B60938">
        <w:t xml:space="preserve">In order to have an insight about the putative interactions between our newly synthesized ligands and studied enzymes, docking calculations were carried out in the </w:t>
      </w:r>
      <w:r w:rsidRPr="00B60938">
        <w:rPr>
          <w:i/>
        </w:rPr>
        <w:t>h</w:t>
      </w:r>
      <w:r w:rsidRPr="00B60938">
        <w:t xml:space="preserve">FPPS and </w:t>
      </w:r>
      <w:r w:rsidRPr="00B60938">
        <w:rPr>
          <w:i/>
        </w:rPr>
        <w:t>h</w:t>
      </w:r>
      <w:r w:rsidRPr="00B60938">
        <w:t>GGPPS binding sites (PDB IDs respectively 4H5D and 2Q80).</w:t>
      </w:r>
    </w:p>
    <w:p w14:paraId="3D52AA3A" w14:textId="0047989F" w:rsidR="00292D9F" w:rsidRPr="00B60938" w:rsidRDefault="00292D9F" w:rsidP="00FA303D">
      <w:pPr>
        <w:pStyle w:val="TAMainText"/>
        <w:outlineLvl w:val="0"/>
      </w:pPr>
      <w:r w:rsidRPr="00B60938">
        <w:t xml:space="preserve">Concerning the docking in the </w:t>
      </w:r>
      <w:r w:rsidR="005204AB" w:rsidRPr="00B60938">
        <w:rPr>
          <w:i/>
        </w:rPr>
        <w:t>h</w:t>
      </w:r>
      <w:r w:rsidRPr="00B60938">
        <w:t xml:space="preserve">FPPS catalytic site, a previously setup procedure has been followed </w:t>
      </w:r>
      <w:r w:rsidR="00A43043" w:rsidRPr="00CD5941">
        <w:t>t</w:t>
      </w:r>
      <w:r w:rsidR="00A43043" w:rsidRPr="00A9559F">
        <w:t>h</w:t>
      </w:r>
      <w:r w:rsidR="00A43043" w:rsidRPr="00CD3972">
        <w:t>at allowed to obtain a quantitative model for a diverse set of FPPS inhibitors</w:t>
      </w:r>
      <w:r w:rsidR="00C93B4E">
        <w:t xml:space="preserve"> [49].</w:t>
      </w:r>
      <w:r w:rsidR="00A43043" w:rsidRPr="00CD3972">
        <w:t xml:space="preserve"> In that case, the binding mode of N-BPs into the </w:t>
      </w:r>
      <w:r w:rsidR="00A43043" w:rsidRPr="00CD3972">
        <w:rPr>
          <w:i/>
        </w:rPr>
        <w:t>h</w:t>
      </w:r>
      <w:r w:rsidR="00A43043" w:rsidRPr="00CD3972">
        <w:t xml:space="preserve">FPPS active site were modeled exploiting the information from similar X-ray complexes and not taking into account sequential FPPS adaptation and isomerization or stabilization by IPP binding. The 3D structure of </w:t>
      </w:r>
      <w:r w:rsidR="00A43043" w:rsidRPr="00CD3972">
        <w:rPr>
          <w:i/>
        </w:rPr>
        <w:t>h</w:t>
      </w:r>
      <w:r w:rsidR="00A43043" w:rsidRPr="00CD3972">
        <w:t xml:space="preserve">FPPS and the docking protocol used in the present work were </w:t>
      </w:r>
      <w:r w:rsidR="00D15791" w:rsidRPr="00CD3972">
        <w:t>se</w:t>
      </w:r>
      <w:r w:rsidR="00D15791">
        <w:t>tup</w:t>
      </w:r>
      <w:r w:rsidR="00D15791" w:rsidRPr="00CD3972">
        <w:t xml:space="preserve"> </w:t>
      </w:r>
      <w:r w:rsidR="00A43043" w:rsidRPr="00CD3972">
        <w:t>as described in the previous article where a cross-docking run allowed to identify the protein structure best performing in the reproduction of the experimental binding geometry of ligands. The same procedure highlighted the role of X-ray water molecules close to Mg</w:t>
      </w:r>
      <w:r w:rsidR="00A43043" w:rsidRPr="00CD3972">
        <w:rPr>
          <w:vertAlign w:val="superscript"/>
        </w:rPr>
        <w:t>2+</w:t>
      </w:r>
      <w:r w:rsidR="00A43043" w:rsidRPr="00CD3972">
        <w:t xml:space="preserve"> ions in determining the correct binding mode and energy. The same water molecules have been explicitly considered in the docking calculations</w:t>
      </w:r>
      <w:r w:rsidR="00FE3EEF" w:rsidRPr="00CD3972">
        <w:t xml:space="preserve"> [49]</w:t>
      </w:r>
      <w:r w:rsidR="00A43043" w:rsidRPr="00CD3972">
        <w:t>.</w:t>
      </w:r>
    </w:p>
    <w:p w14:paraId="275950BC" w14:textId="77777777" w:rsidR="00292D9F" w:rsidRPr="00B60938" w:rsidRDefault="00292D9F" w:rsidP="00313F11">
      <w:pPr>
        <w:pStyle w:val="TAMainText"/>
        <w:outlineLvl w:val="0"/>
      </w:pPr>
      <w:r w:rsidRPr="00B60938">
        <w:t>All docked ligands occupy the DMAPP/GPP binding pocket, similarly to known N-BPs. The bisphosphonic portion establishes very conserved interactions, coordinating the three Mg</w:t>
      </w:r>
      <w:r w:rsidRPr="00B60938">
        <w:rPr>
          <w:vertAlign w:val="superscript"/>
        </w:rPr>
        <w:t>2+</w:t>
      </w:r>
      <w:r w:rsidRPr="00B60938">
        <w:t xml:space="preserve"> ions and forming ionic interactions with Lys200, Lys257 and Arg112, while the OH function forms a H-bond with the Asp243 side chain. </w:t>
      </w:r>
    </w:p>
    <w:p w14:paraId="287AF1B9" w14:textId="4E23AB90" w:rsidR="00292D9F" w:rsidRPr="00B60938" w:rsidRDefault="00292D9F" w:rsidP="00CB7B52">
      <w:pPr>
        <w:pStyle w:val="TAMainText"/>
        <w:outlineLvl w:val="0"/>
      </w:pPr>
      <w:r w:rsidRPr="00B60938">
        <w:t xml:space="preserve">Main differences have been observed in the side-chain interactions. As previously stated, N-BPs bind the </w:t>
      </w:r>
      <w:r w:rsidR="005204AB" w:rsidRPr="00B60938">
        <w:rPr>
          <w:i/>
        </w:rPr>
        <w:t>h</w:t>
      </w:r>
      <w:r w:rsidRPr="00B60938">
        <w:t>FPPS with their protonated side chain acting as carbocat</w:t>
      </w:r>
      <w:r w:rsidR="000929C6" w:rsidRPr="00B60938">
        <w:t>ion transition state analogues</w:t>
      </w:r>
      <w:r w:rsidR="00FE3EEF">
        <w:t xml:space="preserve"> [50]</w:t>
      </w:r>
      <w:r w:rsidR="0054125E" w:rsidRPr="00B60938">
        <w:t>.</w:t>
      </w:r>
      <w:r w:rsidRPr="00B60938">
        <w:t xml:space="preserve"> </w:t>
      </w:r>
      <w:r w:rsidR="0054125E" w:rsidRPr="00E94337">
        <w:t>I</w:t>
      </w:r>
      <w:r w:rsidRPr="00E94337">
        <w:t>n particular, the heterocyclic N-BPs potency is due to their ability to form a bifurcated H-bond interaction with Thr201 side</w:t>
      </w:r>
      <w:r w:rsidR="005204AB" w:rsidRPr="00B60938">
        <w:t xml:space="preserve"> </w:t>
      </w:r>
      <w:r w:rsidRPr="00B60938">
        <w:t>chain and backbone carbonyl oxygen of Lys200</w:t>
      </w:r>
      <w:r w:rsidRPr="00B60938">
        <w:rPr>
          <w:i/>
        </w:rPr>
        <w:t xml:space="preserve"> via</w:t>
      </w:r>
      <w:r w:rsidRPr="00B60938">
        <w:t xml:space="preserve"> their protonated heterocyclic ring. </w:t>
      </w:r>
    </w:p>
    <w:p w14:paraId="0F980D3E" w14:textId="5FED0C28" w:rsidR="00292D9F" w:rsidRPr="00B60938" w:rsidRDefault="00292D9F">
      <w:pPr>
        <w:pStyle w:val="TAMainText"/>
        <w:outlineLvl w:val="0"/>
      </w:pPr>
      <w:r w:rsidRPr="00B60938">
        <w:lastRenderedPageBreak/>
        <w:t xml:space="preserve">In this respect, compound </w:t>
      </w:r>
      <w:r w:rsidRPr="00B60938">
        <w:rPr>
          <w:b/>
        </w:rPr>
        <w:t>10</w:t>
      </w:r>
      <w:r w:rsidRPr="00B60938">
        <w:t xml:space="preserve"> locates the piperidine ring in the proximal part of the hydrophobic DMAPP/GPP site as well as risedronate (Figure </w:t>
      </w:r>
      <w:r w:rsidR="00C449A9">
        <w:t>7</w:t>
      </w:r>
      <w:r w:rsidRPr="00B60938">
        <w:t xml:space="preserve">A, C); differently to this latter, the longer spacer between the bisphosphonic portion and the aromatic ring allows the H-bonding to Lys200 carbonyl oxygen, but not with Thr201. Moreover, compound </w:t>
      </w:r>
      <w:r w:rsidRPr="00B60938">
        <w:rPr>
          <w:b/>
        </w:rPr>
        <w:t>10</w:t>
      </w:r>
      <w:r w:rsidRPr="00B60938">
        <w:t xml:space="preserve"> presents a piperidine ring with more acidic heterocyclic nitrogen atoms (calculated pKa</w:t>
      </w:r>
      <w:r w:rsidR="005204AB" w:rsidRPr="00B60938">
        <w:t xml:space="preserve"> </w:t>
      </w:r>
      <w:r w:rsidRPr="00B60938">
        <w:t>= 3.9) with respect to the pyridinic one of risedronate (calculated pKa</w:t>
      </w:r>
      <w:r w:rsidR="005204AB" w:rsidRPr="00B60938">
        <w:t xml:space="preserve"> </w:t>
      </w:r>
      <w:r w:rsidRPr="00B60938">
        <w:t>=</w:t>
      </w:r>
      <w:r w:rsidR="005204AB" w:rsidRPr="00B60938">
        <w:t xml:space="preserve"> </w:t>
      </w:r>
      <w:r w:rsidRPr="00B60938">
        <w:t xml:space="preserve">5.18); </w:t>
      </w:r>
      <w:r w:rsidR="00C01C7F">
        <w:t>to account for this effect</w:t>
      </w:r>
      <w:r w:rsidRPr="00B60938">
        <w:t xml:space="preserve">, docking calculations have been carried out in both protonated and deprotonated forms. </w:t>
      </w:r>
    </w:p>
    <w:p w14:paraId="3B4098F1" w14:textId="23F85471" w:rsidR="00292D9F" w:rsidRPr="00B60938" w:rsidRDefault="00292D9F" w:rsidP="00CD5941">
      <w:pPr>
        <w:pStyle w:val="TAMainText"/>
      </w:pPr>
      <w:r w:rsidRPr="00B60938">
        <w:t xml:space="preserve">Compound </w:t>
      </w:r>
      <w:r w:rsidRPr="00B60938">
        <w:rPr>
          <w:b/>
        </w:rPr>
        <w:t>15</w:t>
      </w:r>
      <w:r w:rsidRPr="00B60938">
        <w:t xml:space="preserve"> maintains the BP interactions, its larger aromatic portion gains an interaction with Phe99 side chain (the same interaction has been detected for minodronate), but no H-bond involving the side chain has been detected (Figure </w:t>
      </w:r>
      <w:r w:rsidR="00C449A9">
        <w:t>7</w:t>
      </w:r>
      <w:r w:rsidRPr="00B60938">
        <w:t xml:space="preserve">B). The same result has been obtained for all the other docked ligands that do not show any H-bond interaction with the protein: </w:t>
      </w:r>
      <w:r w:rsidRPr="00A90710">
        <w:t xml:space="preserve">larger ligands occupy the whole binding pocket, improving the Van der Waals interactions. However, the analysis of the energetic contributions to the docking score reveals that the electrostatic component </w:t>
      </w:r>
      <w:r w:rsidR="00C01C7F" w:rsidRPr="00CD5941">
        <w:t xml:space="preserve">better </w:t>
      </w:r>
      <w:r w:rsidRPr="00A90710">
        <w:t xml:space="preserve">correlates </w:t>
      </w:r>
      <w:r w:rsidRPr="006204A9">
        <w:t xml:space="preserve">to the experimental activity, confirming that H-bond/electrostatic interaction overcomes the hydrophobic contribution in determining the binding affinity to </w:t>
      </w:r>
      <w:r w:rsidRPr="006204A9">
        <w:rPr>
          <w:i/>
        </w:rPr>
        <w:t>h</w:t>
      </w:r>
      <w:r w:rsidRPr="006204A9">
        <w:t>FPPS</w:t>
      </w:r>
      <w:r w:rsidR="00FE3EEF" w:rsidRPr="006204A9">
        <w:t xml:space="preserve"> [</w:t>
      </w:r>
      <w:r w:rsidR="00FE3EEF">
        <w:t>41]</w:t>
      </w:r>
      <w:r w:rsidRPr="00B60938">
        <w:t xml:space="preserve">. </w:t>
      </w:r>
    </w:p>
    <w:p w14:paraId="383822E1" w14:textId="6EC6027B" w:rsidR="00292D9F" w:rsidRPr="00B60938" w:rsidRDefault="005204AB">
      <w:pPr>
        <w:pStyle w:val="TAMainText"/>
        <w:outlineLvl w:val="0"/>
      </w:pPr>
      <w:r w:rsidRPr="00B60938">
        <w:rPr>
          <w:i/>
        </w:rPr>
        <w:t>h</w:t>
      </w:r>
      <w:r w:rsidR="00292D9F" w:rsidRPr="00B60938">
        <w:t xml:space="preserve">GGPPS has 17% sequence identity to </w:t>
      </w:r>
      <w:r w:rsidRPr="00B60938">
        <w:rPr>
          <w:i/>
        </w:rPr>
        <w:t>h</w:t>
      </w:r>
      <w:r w:rsidR="00292D9F" w:rsidRPr="00B60938">
        <w:t xml:space="preserve">FPPS and, probably, it shares the same catalytic mechanism.  With respect to </w:t>
      </w:r>
      <w:r w:rsidRPr="00B60938">
        <w:rPr>
          <w:i/>
        </w:rPr>
        <w:t>h</w:t>
      </w:r>
      <w:r w:rsidR="00292D9F" w:rsidRPr="00B60938">
        <w:t>FPPS, it presents a longer hydrophobic tunnel surrounded by lipophilic and aromatic residues</w:t>
      </w:r>
      <w:r w:rsidR="00FE3EEF">
        <w:t xml:space="preserve"> [51]</w:t>
      </w:r>
      <w:r w:rsidR="00292D9F" w:rsidRPr="00B60938">
        <w:t xml:space="preserve">. Potent </w:t>
      </w:r>
      <w:r w:rsidRPr="00E94337">
        <w:rPr>
          <w:i/>
        </w:rPr>
        <w:t>h</w:t>
      </w:r>
      <w:r w:rsidR="00292D9F" w:rsidRPr="00E94337">
        <w:t xml:space="preserve">GGPPS inhibitors, in fact, possess long alkyl chains, while the presence of cationic functions is not required. </w:t>
      </w:r>
      <w:r w:rsidRPr="00B60938">
        <w:rPr>
          <w:i/>
        </w:rPr>
        <w:t>h</w:t>
      </w:r>
      <w:r w:rsidR="00292D9F" w:rsidRPr="00B60938">
        <w:t xml:space="preserve">GGPPS binding, therefore, differently from </w:t>
      </w:r>
      <w:r w:rsidRPr="00B60938">
        <w:rPr>
          <w:i/>
        </w:rPr>
        <w:t>h</w:t>
      </w:r>
      <w:r w:rsidR="00292D9F" w:rsidRPr="00B60938">
        <w:t xml:space="preserve">FPPS, is mainly driven by hydrophobic interactions. As a matter of fact, also risedronate has been found to be inactive toward </w:t>
      </w:r>
      <w:r w:rsidRPr="00B60938">
        <w:rPr>
          <w:i/>
        </w:rPr>
        <w:t>h</w:t>
      </w:r>
      <w:r w:rsidR="00292D9F" w:rsidRPr="00B60938">
        <w:t>GGPPS</w:t>
      </w:r>
      <w:r w:rsidR="00FE3EEF">
        <w:t xml:space="preserve"> [52]</w:t>
      </w:r>
      <w:r w:rsidR="00292D9F" w:rsidRPr="00B60938">
        <w:t>, while dual binding compounds</w:t>
      </w:r>
      <w:r w:rsidR="00C93B4E">
        <w:t xml:space="preserve"> (</w:t>
      </w:r>
      <w:r w:rsidR="00C93B4E" w:rsidRPr="00B60938">
        <w:rPr>
          <w:i/>
        </w:rPr>
        <w:t>h</w:t>
      </w:r>
      <w:r w:rsidR="00C93B4E" w:rsidRPr="00B60938">
        <w:t>FPPS</w:t>
      </w:r>
      <w:r w:rsidR="00C93B4E">
        <w:t>/</w:t>
      </w:r>
      <w:r w:rsidR="00C93B4E" w:rsidRPr="00B60938">
        <w:rPr>
          <w:i/>
        </w:rPr>
        <w:t>h</w:t>
      </w:r>
      <w:r w:rsidR="00C93B4E" w:rsidRPr="00B60938">
        <w:t>GGPPS</w:t>
      </w:r>
      <w:r w:rsidR="00C93B4E">
        <w:t>)</w:t>
      </w:r>
      <w:r w:rsidR="00292D9F" w:rsidRPr="00B60938">
        <w:t xml:space="preserve"> present a long hydrophobic tail</w:t>
      </w:r>
      <w:r w:rsidR="00FE3EEF">
        <w:t xml:space="preserve"> [53]</w:t>
      </w:r>
      <w:r w:rsidR="00292D9F" w:rsidRPr="00B60938">
        <w:t>.</w:t>
      </w:r>
    </w:p>
    <w:p w14:paraId="2F85EED6" w14:textId="77777777" w:rsidR="00A90710" w:rsidRDefault="00292D9F">
      <w:pPr>
        <w:pStyle w:val="TAMainText"/>
        <w:outlineLvl w:val="0"/>
      </w:pPr>
      <w:r w:rsidRPr="00E94337">
        <w:t xml:space="preserve">The bisphosphonic function of all docked ligands aligns well with the pyrophosphate group of co-crystallized </w:t>
      </w:r>
      <w:r w:rsidR="005204AB" w:rsidRPr="00B60938">
        <w:rPr>
          <w:i/>
        </w:rPr>
        <w:t>h</w:t>
      </w:r>
      <w:r w:rsidRPr="00B60938">
        <w:t>GGPP, providing coordination of the two Mg</w:t>
      </w:r>
      <w:r w:rsidRPr="00B60938">
        <w:rPr>
          <w:vertAlign w:val="superscript"/>
        </w:rPr>
        <w:t>2+</w:t>
      </w:r>
      <w:r w:rsidRPr="00B60938">
        <w:t xml:space="preserve"> ions and ionic and/or H-bonding interactions with Lys212, Gln185, Lys202, Arg73, Asp188 and Lys151</w:t>
      </w:r>
      <w:r w:rsidRPr="006204A9">
        <w:t>. Most active compounds (</w:t>
      </w:r>
      <w:r w:rsidRPr="006204A9">
        <w:rPr>
          <w:b/>
        </w:rPr>
        <w:t>13</w:t>
      </w:r>
      <w:r w:rsidRPr="006204A9">
        <w:t xml:space="preserve">, </w:t>
      </w:r>
      <w:r w:rsidRPr="006204A9">
        <w:rPr>
          <w:b/>
        </w:rPr>
        <w:t>16</w:t>
      </w:r>
      <w:r w:rsidRPr="006204A9">
        <w:t xml:space="preserve">, </w:t>
      </w:r>
      <w:r w:rsidRPr="006204A9">
        <w:rPr>
          <w:b/>
        </w:rPr>
        <w:t>17</w:t>
      </w:r>
      <w:r w:rsidRPr="006204A9">
        <w:t xml:space="preserve">, </w:t>
      </w:r>
      <w:r w:rsidRPr="006204A9">
        <w:rPr>
          <w:b/>
        </w:rPr>
        <w:t>22</w:t>
      </w:r>
      <w:r w:rsidRPr="006204A9">
        <w:t xml:space="preserve">) have longer linkers that bring the ligand aromatic portion in a sandwich interaction with </w:t>
      </w:r>
      <w:r w:rsidRPr="006204A9">
        <w:lastRenderedPageBreak/>
        <w:t xml:space="preserve">His57 and Phe156 side chains (Figure </w:t>
      </w:r>
      <w:r w:rsidR="00C449A9" w:rsidRPr="006204A9">
        <w:t>7</w:t>
      </w:r>
      <w:r w:rsidRPr="006204A9">
        <w:t>D). However, they occupy the hydrophobic pocket only partially. Ligands with a shorter linker are not able to interact with these aromatic residues and locate the NH function in an unfavorable position.</w:t>
      </w:r>
    </w:p>
    <w:p w14:paraId="4CD7BCB7" w14:textId="1CC59084" w:rsidR="00292D9F" w:rsidRDefault="00192DB5">
      <w:pPr>
        <w:pStyle w:val="TAMainText"/>
        <w:outlineLvl w:val="0"/>
      </w:pPr>
      <w:r>
        <w:rPr>
          <w:noProof/>
        </w:rPr>
        <w:drawing>
          <wp:anchor distT="0" distB="0" distL="114300" distR="114300" simplePos="0" relativeHeight="251660288" behindDoc="0" locked="0" layoutInCell="1" allowOverlap="1" wp14:anchorId="7EEDE10B" wp14:editId="351C6173">
            <wp:simplePos x="0" y="0"/>
            <wp:positionH relativeFrom="column">
              <wp:posOffset>-2540</wp:posOffset>
            </wp:positionH>
            <wp:positionV relativeFrom="paragraph">
              <wp:posOffset>1212215</wp:posOffset>
            </wp:positionV>
            <wp:extent cx="6116320" cy="4595495"/>
            <wp:effectExtent l="0" t="0" r="0"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_7.tif"/>
                    <pic:cNvPicPr/>
                  </pic:nvPicPr>
                  <pic:blipFill>
                    <a:blip r:embed="rId29">
                      <a:extLst>
                        <a:ext uri="{28A0092B-C50C-407E-A947-70E740481C1C}">
                          <a14:useLocalDpi xmlns:a14="http://schemas.microsoft.com/office/drawing/2010/main" val="0"/>
                        </a:ext>
                      </a:extLst>
                    </a:blip>
                    <a:stretch>
                      <a:fillRect/>
                    </a:stretch>
                  </pic:blipFill>
                  <pic:spPr>
                    <a:xfrm>
                      <a:off x="0" y="0"/>
                      <a:ext cx="6116320" cy="4595495"/>
                    </a:xfrm>
                    <a:prstGeom prst="rect">
                      <a:avLst/>
                    </a:prstGeom>
                  </pic:spPr>
                </pic:pic>
              </a:graphicData>
            </a:graphic>
          </wp:anchor>
        </w:drawing>
      </w:r>
      <w:r w:rsidR="006204A9">
        <w:t>Docking results</w:t>
      </w:r>
      <w:r w:rsidR="00C01C7F">
        <w:t xml:space="preserve"> can</w:t>
      </w:r>
      <w:r w:rsidR="006204A9">
        <w:t xml:space="preserve"> thus</w:t>
      </w:r>
      <w:r w:rsidR="00C01C7F">
        <w:t xml:space="preserve"> explain the opposite behavior of </w:t>
      </w:r>
      <w:r w:rsidR="00A90710">
        <w:t xml:space="preserve">our </w:t>
      </w:r>
      <w:r w:rsidR="00C01C7F">
        <w:t xml:space="preserve">compounds with respect to the </w:t>
      </w:r>
      <w:r w:rsidR="00A90710" w:rsidRPr="00CD5941">
        <w:rPr>
          <w:i/>
        </w:rPr>
        <w:t>h</w:t>
      </w:r>
      <w:r w:rsidR="00A90710">
        <w:t>FPPS/</w:t>
      </w:r>
      <w:r w:rsidR="00C01C7F" w:rsidRPr="00CD5941">
        <w:rPr>
          <w:i/>
        </w:rPr>
        <w:t>h</w:t>
      </w:r>
      <w:r w:rsidR="00C01C7F">
        <w:t>GGPPS inhibition</w:t>
      </w:r>
      <w:r w:rsidR="006204A9">
        <w:t>, i.e.</w:t>
      </w:r>
      <w:r w:rsidR="00A90710">
        <w:t xml:space="preserve"> </w:t>
      </w:r>
      <w:r w:rsidR="006204A9">
        <w:t xml:space="preserve">the effect of linker elongation that reduces the </w:t>
      </w:r>
      <w:r w:rsidR="006204A9" w:rsidRPr="009F2754">
        <w:rPr>
          <w:i/>
        </w:rPr>
        <w:t>h</w:t>
      </w:r>
      <w:r w:rsidR="006204A9">
        <w:t xml:space="preserve">FPPS inhibition, while improves the binding affinity to </w:t>
      </w:r>
      <w:r w:rsidR="006204A9" w:rsidRPr="009F2754">
        <w:rPr>
          <w:i/>
        </w:rPr>
        <w:t>h</w:t>
      </w:r>
      <w:r w:rsidR="006204A9">
        <w:t>GGPPS.</w:t>
      </w:r>
    </w:p>
    <w:p w14:paraId="6245D8C4" w14:textId="2C99B59D" w:rsidR="00192DB5" w:rsidRDefault="00192DB5">
      <w:pPr>
        <w:pStyle w:val="TAMainText"/>
        <w:outlineLvl w:val="0"/>
      </w:pPr>
    </w:p>
    <w:p w14:paraId="543B8F37" w14:textId="39569B1E" w:rsidR="00292D9F" w:rsidRPr="00192DB5" w:rsidRDefault="00292D9F" w:rsidP="00CB7B52">
      <w:pPr>
        <w:pStyle w:val="TAMainText"/>
        <w:spacing w:line="360" w:lineRule="auto"/>
        <w:outlineLvl w:val="0"/>
        <w:rPr>
          <w:sz w:val="20"/>
        </w:rPr>
      </w:pPr>
      <w:r w:rsidRPr="00192DB5">
        <w:rPr>
          <w:b/>
          <w:sz w:val="20"/>
        </w:rPr>
        <w:t xml:space="preserve">Figure </w:t>
      </w:r>
      <w:r w:rsidR="00C449A9" w:rsidRPr="00192DB5">
        <w:rPr>
          <w:b/>
          <w:sz w:val="20"/>
        </w:rPr>
        <w:t>7</w:t>
      </w:r>
      <w:r w:rsidRPr="00192DB5">
        <w:rPr>
          <w:sz w:val="20"/>
        </w:rPr>
        <w:t xml:space="preserve">. Docked poses of compounds </w:t>
      </w:r>
      <w:r w:rsidRPr="00192DB5">
        <w:rPr>
          <w:b/>
          <w:sz w:val="20"/>
        </w:rPr>
        <w:t>10</w:t>
      </w:r>
      <w:r w:rsidRPr="00192DB5">
        <w:rPr>
          <w:sz w:val="20"/>
        </w:rPr>
        <w:t xml:space="preserve"> (green carbon atoms, A), </w:t>
      </w:r>
      <w:r w:rsidRPr="00192DB5">
        <w:rPr>
          <w:b/>
          <w:sz w:val="20"/>
        </w:rPr>
        <w:t>15</w:t>
      </w:r>
      <w:r w:rsidRPr="00192DB5">
        <w:rPr>
          <w:sz w:val="20"/>
        </w:rPr>
        <w:t xml:space="preserve"> (cyan carbon atoms, B) and X-ray pose of risedronate (yellow carbon atoms, C) in the FPPS active site (grey cartoon), and superimposed docked geometry of compounds </w:t>
      </w:r>
      <w:r w:rsidRPr="00192DB5">
        <w:rPr>
          <w:b/>
          <w:sz w:val="20"/>
        </w:rPr>
        <w:t>13</w:t>
      </w:r>
      <w:r w:rsidRPr="00192DB5">
        <w:rPr>
          <w:sz w:val="20"/>
        </w:rPr>
        <w:t xml:space="preserve"> (light green carbon atoms), </w:t>
      </w:r>
      <w:r w:rsidRPr="00192DB5">
        <w:rPr>
          <w:b/>
          <w:sz w:val="20"/>
        </w:rPr>
        <w:t>16</w:t>
      </w:r>
      <w:r w:rsidRPr="00192DB5">
        <w:rPr>
          <w:sz w:val="20"/>
        </w:rPr>
        <w:t xml:space="preserve"> (salmon carbon atoms), </w:t>
      </w:r>
      <w:r w:rsidRPr="00192DB5">
        <w:rPr>
          <w:b/>
          <w:sz w:val="20"/>
        </w:rPr>
        <w:t>17</w:t>
      </w:r>
      <w:r w:rsidRPr="00192DB5">
        <w:rPr>
          <w:sz w:val="20"/>
        </w:rPr>
        <w:t xml:space="preserve"> (blue carbon atoms) and </w:t>
      </w:r>
      <w:r w:rsidRPr="00192DB5">
        <w:rPr>
          <w:b/>
          <w:sz w:val="20"/>
        </w:rPr>
        <w:t>22</w:t>
      </w:r>
      <w:r w:rsidRPr="00192DB5">
        <w:rPr>
          <w:sz w:val="20"/>
        </w:rPr>
        <w:t xml:space="preserve"> (gold carbon atoms) in the GGPPS binding site (light grey cartoon). More relevant residues are reported as sticks, Mg</w:t>
      </w:r>
      <w:r w:rsidRPr="00192DB5">
        <w:rPr>
          <w:sz w:val="20"/>
          <w:vertAlign w:val="superscript"/>
        </w:rPr>
        <w:t>2+</w:t>
      </w:r>
      <w:r w:rsidRPr="00192DB5">
        <w:rPr>
          <w:sz w:val="20"/>
        </w:rPr>
        <w:t xml:space="preserve"> ions are represented as purple spheres, H-bonds are depicted as yellow dashed lines. Water molecules are omitted for sake of clarity.</w:t>
      </w:r>
    </w:p>
    <w:p w14:paraId="7315D410" w14:textId="77777777" w:rsidR="00292D9F" w:rsidRPr="00B60938" w:rsidRDefault="00292D9F" w:rsidP="00CB7B52">
      <w:pPr>
        <w:pStyle w:val="TAMainText"/>
        <w:outlineLvl w:val="0"/>
        <w:rPr>
          <w:b/>
        </w:rPr>
      </w:pPr>
    </w:p>
    <w:p w14:paraId="2D23217B" w14:textId="77777777" w:rsidR="00A913EA" w:rsidRDefault="00A913EA">
      <w:pPr>
        <w:pStyle w:val="TAMainText"/>
        <w:outlineLvl w:val="0"/>
        <w:rPr>
          <w:b/>
        </w:rPr>
      </w:pPr>
    </w:p>
    <w:p w14:paraId="7E09FF89" w14:textId="3F224930" w:rsidR="00303C47" w:rsidRPr="00B60938" w:rsidRDefault="00303C47">
      <w:pPr>
        <w:pStyle w:val="TAMainText"/>
        <w:outlineLvl w:val="0"/>
        <w:rPr>
          <w:b/>
        </w:rPr>
      </w:pPr>
      <w:r w:rsidRPr="00B60938">
        <w:rPr>
          <w:b/>
        </w:rPr>
        <w:lastRenderedPageBreak/>
        <w:t>2.3.</w:t>
      </w:r>
      <w:r w:rsidR="00C449A9">
        <w:rPr>
          <w:b/>
        </w:rPr>
        <w:t>4</w:t>
      </w:r>
      <w:r w:rsidR="0099555C" w:rsidRPr="00B60938">
        <w:rPr>
          <w:b/>
        </w:rPr>
        <w:t xml:space="preserve"> </w:t>
      </w:r>
      <w:r w:rsidRPr="00B60938">
        <w:rPr>
          <w:b/>
        </w:rPr>
        <w:t>Hydroxyapatite (HAP) Affinity Assay</w:t>
      </w:r>
    </w:p>
    <w:p w14:paraId="609D23B4" w14:textId="78B0DFBA" w:rsidR="00303C47" w:rsidRPr="00B60938" w:rsidRDefault="00303C47">
      <w:pPr>
        <w:pStyle w:val="TAMainText"/>
      </w:pPr>
      <w:r w:rsidRPr="00B60938">
        <w:t xml:space="preserve">BPs affinity for bone mineral represents an essential feature which allows to predict the </w:t>
      </w:r>
      <w:r w:rsidRPr="00B60938">
        <w:rPr>
          <w:i/>
        </w:rPr>
        <w:t>in vivo</w:t>
      </w:r>
      <w:r w:rsidRPr="00B60938">
        <w:t xml:space="preserve"> interaction with bone tissue and eventually the possible clinical efficacy. All BPs with P-C-P backbone structure have a high affinity for bone</w:t>
      </w:r>
      <w:r w:rsidR="00144A62">
        <w:t xml:space="preserve"> [54]</w:t>
      </w:r>
      <w:r w:rsidR="00A25105">
        <w:t xml:space="preserve">. </w:t>
      </w:r>
      <w:r w:rsidRPr="00913BF7">
        <w:t xml:space="preserve">The modification of their side chain could affect the affinity of the compounds for bone tissue. </w:t>
      </w:r>
      <w:r w:rsidR="00BC2917" w:rsidRPr="00B60938">
        <w:t>Then</w:t>
      </w:r>
      <w:r w:rsidRPr="00B60938">
        <w:t>, the bone mineral affinity of the most active new N-BPs [</w:t>
      </w:r>
      <w:r w:rsidRPr="00B60938">
        <w:rPr>
          <w:b/>
        </w:rPr>
        <w:t>10</w:t>
      </w:r>
      <w:r w:rsidRPr="00B60938">
        <w:t>,</w:t>
      </w:r>
      <w:r w:rsidRPr="00B60938">
        <w:rPr>
          <w:b/>
        </w:rPr>
        <w:t xml:space="preserve"> 15 </w:t>
      </w:r>
      <w:r w:rsidRPr="00B60938">
        <w:t>and</w:t>
      </w:r>
      <w:r w:rsidRPr="00B60938">
        <w:rPr>
          <w:b/>
        </w:rPr>
        <w:t xml:space="preserve"> 19</w:t>
      </w:r>
      <w:r w:rsidR="00BC2917" w:rsidRPr="00B60938">
        <w:t xml:space="preserve">] was </w:t>
      </w:r>
      <w:r w:rsidRPr="00B60938">
        <w:t xml:space="preserve">investigated evaluating their binding to hydroxyapatite (HAP) powder and compared with </w:t>
      </w:r>
      <w:r w:rsidRPr="00B60938">
        <w:rPr>
          <w:b/>
        </w:rPr>
        <w:t xml:space="preserve">5 </w:t>
      </w:r>
      <w:r w:rsidRPr="00B60938">
        <w:t xml:space="preserve">(risedronic acid) and </w:t>
      </w:r>
      <w:r w:rsidRPr="00B60938">
        <w:rPr>
          <w:b/>
        </w:rPr>
        <w:t xml:space="preserve">6 </w:t>
      </w:r>
      <w:r w:rsidRPr="00B60938">
        <w:t xml:space="preserve">(zoledronic acid). The N-BPs ranking, according to their HAP binding affinity, was determined by ESI-MS analysis, quantifying the residual abundances of N-BPs, in the sample, after the interaction with HAP. In particular, the rank order of binding affinities to HAP is </w:t>
      </w:r>
      <w:r w:rsidRPr="00B60938">
        <w:rPr>
          <w:b/>
        </w:rPr>
        <w:t xml:space="preserve">6 </w:t>
      </w:r>
      <w:r w:rsidRPr="00B60938">
        <w:t xml:space="preserve">(ZOL) </w:t>
      </w:r>
      <w:r w:rsidRPr="00A41F7D">
        <w:rPr>
          <w:u w:val="single"/>
        </w:rPr>
        <w:t>&gt;</w:t>
      </w:r>
      <w:r w:rsidRPr="00B60938">
        <w:rPr>
          <w:b/>
        </w:rPr>
        <w:t xml:space="preserve"> 10</w:t>
      </w:r>
      <w:r w:rsidRPr="00B60938">
        <w:t xml:space="preserve"> &gt; </w:t>
      </w:r>
      <w:r w:rsidRPr="00B60938">
        <w:rPr>
          <w:b/>
        </w:rPr>
        <w:t>5</w:t>
      </w:r>
      <w:r w:rsidRPr="00B60938">
        <w:t xml:space="preserve"> (RIS) &gt; </w:t>
      </w:r>
      <w:r w:rsidRPr="00B60938">
        <w:rPr>
          <w:b/>
        </w:rPr>
        <w:t>15</w:t>
      </w:r>
      <w:r w:rsidRPr="00B60938">
        <w:t xml:space="preserve"> ≈ </w:t>
      </w:r>
      <w:r w:rsidRPr="00B60938">
        <w:rPr>
          <w:b/>
        </w:rPr>
        <w:t>19</w:t>
      </w:r>
      <w:r w:rsidRPr="00B60938">
        <w:t xml:space="preserve"> (Table 3).</w:t>
      </w:r>
    </w:p>
    <w:p w14:paraId="25A6A0ED" w14:textId="77777777" w:rsidR="007B1B97" w:rsidRPr="00B60938" w:rsidRDefault="007B1B97">
      <w:pPr>
        <w:pStyle w:val="VDTableTitle"/>
        <w:spacing w:after="0"/>
        <w:rPr>
          <w:b/>
        </w:rPr>
      </w:pPr>
    </w:p>
    <w:p w14:paraId="076F90D4" w14:textId="77777777" w:rsidR="00303C47" w:rsidRPr="00192DB5" w:rsidRDefault="00303C47">
      <w:pPr>
        <w:pStyle w:val="VDTableTitle"/>
        <w:spacing w:after="0"/>
        <w:rPr>
          <w:sz w:val="20"/>
        </w:rPr>
      </w:pPr>
      <w:r w:rsidRPr="00192DB5">
        <w:rPr>
          <w:b/>
          <w:sz w:val="20"/>
        </w:rPr>
        <w:t>Table 3.</w:t>
      </w:r>
      <w:r w:rsidRPr="00192DB5">
        <w:rPr>
          <w:sz w:val="20"/>
        </w:rPr>
        <w:t xml:space="preserve"> Hydroxyapatite (HAP) binding (%) assay.</w:t>
      </w:r>
    </w:p>
    <w:tbl>
      <w:tblPr>
        <w:tblW w:w="0" w:type="auto"/>
        <w:jc w:val="center"/>
        <w:tblLook w:val="04A0" w:firstRow="1" w:lastRow="0" w:firstColumn="1" w:lastColumn="0" w:noHBand="0" w:noVBand="1"/>
      </w:tblPr>
      <w:tblGrid>
        <w:gridCol w:w="2093"/>
        <w:gridCol w:w="1559"/>
        <w:gridCol w:w="2126"/>
        <w:gridCol w:w="554"/>
        <w:gridCol w:w="1289"/>
        <w:gridCol w:w="709"/>
      </w:tblGrid>
      <w:tr w:rsidR="00303C47" w:rsidRPr="00B60938" w14:paraId="2DE89485" w14:textId="77777777" w:rsidTr="00E731E3">
        <w:trPr>
          <w:trHeight w:val="510"/>
          <w:jc w:val="center"/>
        </w:trPr>
        <w:tc>
          <w:tcPr>
            <w:tcW w:w="2093" w:type="dxa"/>
            <w:tcBorders>
              <w:top w:val="single" w:sz="4" w:space="0" w:color="auto"/>
              <w:bottom w:val="single" w:sz="4" w:space="0" w:color="auto"/>
            </w:tcBorders>
            <w:shd w:val="clear" w:color="auto" w:fill="auto"/>
            <w:vAlign w:val="center"/>
          </w:tcPr>
          <w:p w14:paraId="5E13BFB9" w14:textId="77777777" w:rsidR="00303C47" w:rsidRPr="00B60938" w:rsidRDefault="00303C47" w:rsidP="00CB7B52">
            <w:pPr>
              <w:pStyle w:val="TAMainText"/>
              <w:spacing w:line="240" w:lineRule="auto"/>
              <w:ind w:firstLine="0"/>
            </w:pPr>
            <w:r w:rsidRPr="00B60938">
              <w:t>Compound</w:t>
            </w:r>
          </w:p>
        </w:tc>
        <w:tc>
          <w:tcPr>
            <w:tcW w:w="1559" w:type="dxa"/>
            <w:tcBorders>
              <w:top w:val="single" w:sz="4" w:space="0" w:color="auto"/>
              <w:bottom w:val="single" w:sz="4" w:space="0" w:color="auto"/>
            </w:tcBorders>
            <w:shd w:val="clear" w:color="auto" w:fill="auto"/>
            <w:vAlign w:val="center"/>
          </w:tcPr>
          <w:p w14:paraId="36AF0A94" w14:textId="77777777" w:rsidR="00303C47" w:rsidRPr="00B60938" w:rsidRDefault="00303C47" w:rsidP="00CB7B52">
            <w:pPr>
              <w:pStyle w:val="TAMainText"/>
              <w:spacing w:line="240" w:lineRule="auto"/>
              <w:ind w:firstLine="0"/>
              <w:rPr>
                <w:b/>
                <w:sz w:val="16"/>
                <w:szCs w:val="16"/>
              </w:rPr>
            </w:pPr>
            <w:r w:rsidRPr="00B60938">
              <w:rPr>
                <w:b/>
              </w:rPr>
              <w:t xml:space="preserve">5 </w:t>
            </w:r>
            <w:r w:rsidRPr="00B60938">
              <w:t>(RIS)</w:t>
            </w:r>
            <w:r w:rsidRPr="00B60938" w:rsidDel="00BA1346">
              <w:t xml:space="preserve"> </w:t>
            </w:r>
          </w:p>
        </w:tc>
        <w:tc>
          <w:tcPr>
            <w:tcW w:w="2126" w:type="dxa"/>
            <w:tcBorders>
              <w:top w:val="single" w:sz="4" w:space="0" w:color="auto"/>
              <w:bottom w:val="single" w:sz="4" w:space="0" w:color="auto"/>
            </w:tcBorders>
            <w:shd w:val="clear" w:color="auto" w:fill="auto"/>
            <w:vAlign w:val="center"/>
          </w:tcPr>
          <w:p w14:paraId="74359898" w14:textId="77777777" w:rsidR="00303C47" w:rsidRPr="00B60938" w:rsidRDefault="00303C47" w:rsidP="00CB7B52">
            <w:pPr>
              <w:pStyle w:val="TAMainText"/>
              <w:spacing w:line="240" w:lineRule="auto"/>
              <w:ind w:firstLine="0"/>
              <w:rPr>
                <w:b/>
                <w:sz w:val="16"/>
                <w:szCs w:val="16"/>
              </w:rPr>
            </w:pPr>
            <w:r w:rsidRPr="00B60938">
              <w:rPr>
                <w:b/>
              </w:rPr>
              <w:t>6</w:t>
            </w:r>
            <w:r w:rsidRPr="00B60938">
              <w:t xml:space="preserve"> (ZOL)</w:t>
            </w:r>
            <w:r w:rsidRPr="00B60938" w:rsidDel="00BA1346">
              <w:t xml:space="preserve"> </w:t>
            </w:r>
          </w:p>
        </w:tc>
        <w:tc>
          <w:tcPr>
            <w:tcW w:w="554" w:type="dxa"/>
            <w:tcBorders>
              <w:top w:val="single" w:sz="4" w:space="0" w:color="auto"/>
              <w:bottom w:val="single" w:sz="4" w:space="0" w:color="auto"/>
            </w:tcBorders>
            <w:shd w:val="clear" w:color="auto" w:fill="auto"/>
            <w:vAlign w:val="center"/>
          </w:tcPr>
          <w:p w14:paraId="472BEE56" w14:textId="77777777" w:rsidR="00303C47" w:rsidRPr="00B60938" w:rsidRDefault="00303C47" w:rsidP="00CB7B52">
            <w:pPr>
              <w:pStyle w:val="TAMainText"/>
              <w:spacing w:line="240" w:lineRule="auto"/>
              <w:ind w:firstLine="0"/>
              <w:rPr>
                <w:b/>
                <w:sz w:val="16"/>
                <w:szCs w:val="16"/>
              </w:rPr>
            </w:pPr>
            <w:r w:rsidRPr="00B60938">
              <w:rPr>
                <w:b/>
              </w:rPr>
              <w:t>10</w:t>
            </w:r>
          </w:p>
        </w:tc>
        <w:tc>
          <w:tcPr>
            <w:tcW w:w="1289" w:type="dxa"/>
            <w:tcBorders>
              <w:top w:val="single" w:sz="4" w:space="0" w:color="auto"/>
              <w:bottom w:val="single" w:sz="4" w:space="0" w:color="auto"/>
            </w:tcBorders>
            <w:shd w:val="clear" w:color="auto" w:fill="auto"/>
            <w:vAlign w:val="center"/>
          </w:tcPr>
          <w:p w14:paraId="7B634177" w14:textId="77777777" w:rsidR="00303C47" w:rsidRPr="00B60938" w:rsidRDefault="00303C47" w:rsidP="00CB7B52">
            <w:pPr>
              <w:pStyle w:val="TAMainText"/>
              <w:spacing w:line="240" w:lineRule="auto"/>
              <w:ind w:firstLine="0"/>
              <w:rPr>
                <w:b/>
                <w:sz w:val="16"/>
                <w:szCs w:val="16"/>
              </w:rPr>
            </w:pPr>
            <w:r w:rsidRPr="00B60938">
              <w:rPr>
                <w:b/>
              </w:rPr>
              <w:t>15</w:t>
            </w:r>
          </w:p>
        </w:tc>
        <w:tc>
          <w:tcPr>
            <w:tcW w:w="709" w:type="dxa"/>
            <w:tcBorders>
              <w:top w:val="single" w:sz="4" w:space="0" w:color="auto"/>
              <w:bottom w:val="single" w:sz="4" w:space="0" w:color="auto"/>
            </w:tcBorders>
            <w:shd w:val="clear" w:color="auto" w:fill="auto"/>
            <w:vAlign w:val="center"/>
          </w:tcPr>
          <w:p w14:paraId="29D36579" w14:textId="77777777" w:rsidR="00303C47" w:rsidRPr="00B60938" w:rsidRDefault="00303C47" w:rsidP="00CB7B52">
            <w:pPr>
              <w:pStyle w:val="TAMainText"/>
              <w:spacing w:line="240" w:lineRule="auto"/>
              <w:ind w:firstLine="0"/>
              <w:rPr>
                <w:b/>
                <w:sz w:val="16"/>
                <w:szCs w:val="16"/>
              </w:rPr>
            </w:pPr>
            <w:r w:rsidRPr="00B60938">
              <w:rPr>
                <w:b/>
              </w:rPr>
              <w:t>19</w:t>
            </w:r>
          </w:p>
        </w:tc>
      </w:tr>
      <w:tr w:rsidR="00303C47" w:rsidRPr="00B60938" w14:paraId="32579DCE" w14:textId="77777777" w:rsidTr="00E731E3">
        <w:trPr>
          <w:trHeight w:val="762"/>
          <w:jc w:val="center"/>
        </w:trPr>
        <w:tc>
          <w:tcPr>
            <w:tcW w:w="2093" w:type="dxa"/>
            <w:tcBorders>
              <w:top w:val="single" w:sz="4" w:space="0" w:color="auto"/>
              <w:bottom w:val="single" w:sz="4" w:space="0" w:color="auto"/>
            </w:tcBorders>
            <w:shd w:val="clear" w:color="auto" w:fill="auto"/>
            <w:vAlign w:val="center"/>
          </w:tcPr>
          <w:p w14:paraId="4E9689AF" w14:textId="77777777" w:rsidR="00303C47" w:rsidRPr="00B60938" w:rsidRDefault="00303C47" w:rsidP="00CB7B52">
            <w:pPr>
              <w:pStyle w:val="TAMainText"/>
              <w:spacing w:line="240" w:lineRule="auto"/>
              <w:ind w:firstLine="0"/>
            </w:pPr>
            <w:r w:rsidRPr="00B60938">
              <w:t xml:space="preserve">HAP binding (%) </w:t>
            </w:r>
          </w:p>
        </w:tc>
        <w:tc>
          <w:tcPr>
            <w:tcW w:w="1559" w:type="dxa"/>
            <w:tcBorders>
              <w:top w:val="single" w:sz="4" w:space="0" w:color="auto"/>
              <w:bottom w:val="single" w:sz="4" w:space="0" w:color="auto"/>
            </w:tcBorders>
            <w:shd w:val="clear" w:color="auto" w:fill="auto"/>
            <w:vAlign w:val="center"/>
          </w:tcPr>
          <w:p w14:paraId="002CD07A" w14:textId="77777777" w:rsidR="00303C47" w:rsidRPr="00B60938" w:rsidRDefault="00303C47" w:rsidP="00CB7B52">
            <w:pPr>
              <w:pStyle w:val="TAMainText"/>
              <w:spacing w:line="240" w:lineRule="auto"/>
              <w:ind w:firstLine="0"/>
            </w:pPr>
            <w:r w:rsidRPr="00B60938">
              <w:t>87</w:t>
            </w:r>
          </w:p>
        </w:tc>
        <w:tc>
          <w:tcPr>
            <w:tcW w:w="2126" w:type="dxa"/>
            <w:tcBorders>
              <w:top w:val="single" w:sz="4" w:space="0" w:color="auto"/>
              <w:bottom w:val="single" w:sz="4" w:space="0" w:color="auto"/>
            </w:tcBorders>
            <w:shd w:val="clear" w:color="auto" w:fill="auto"/>
            <w:vAlign w:val="center"/>
          </w:tcPr>
          <w:p w14:paraId="524679E3" w14:textId="77777777" w:rsidR="00303C47" w:rsidRPr="00B60938" w:rsidRDefault="00303C47" w:rsidP="00CB7B52">
            <w:pPr>
              <w:pStyle w:val="TAMainText"/>
              <w:spacing w:line="240" w:lineRule="auto"/>
              <w:ind w:firstLine="0"/>
            </w:pPr>
            <w:r w:rsidRPr="00B60938">
              <w:rPr>
                <w:rFonts w:ascii="Times New Roman" w:hAnsi="Times New Roman"/>
              </w:rPr>
              <w:t>&gt;</w:t>
            </w:r>
            <w:r w:rsidRPr="00B60938">
              <w:t xml:space="preserve"> 95</w:t>
            </w:r>
          </w:p>
        </w:tc>
        <w:tc>
          <w:tcPr>
            <w:tcW w:w="554" w:type="dxa"/>
            <w:tcBorders>
              <w:top w:val="single" w:sz="4" w:space="0" w:color="auto"/>
              <w:bottom w:val="single" w:sz="4" w:space="0" w:color="auto"/>
            </w:tcBorders>
            <w:shd w:val="clear" w:color="auto" w:fill="auto"/>
            <w:vAlign w:val="center"/>
          </w:tcPr>
          <w:p w14:paraId="74BEE1B0" w14:textId="77777777" w:rsidR="00303C47" w:rsidRPr="00B60938" w:rsidRDefault="00303C47" w:rsidP="00CB7B52">
            <w:pPr>
              <w:pStyle w:val="TAMainText"/>
              <w:spacing w:line="240" w:lineRule="auto"/>
              <w:ind w:firstLine="0"/>
            </w:pPr>
            <w:r w:rsidRPr="00B60938">
              <w:t>90</w:t>
            </w:r>
          </w:p>
        </w:tc>
        <w:tc>
          <w:tcPr>
            <w:tcW w:w="1289" w:type="dxa"/>
            <w:tcBorders>
              <w:top w:val="single" w:sz="4" w:space="0" w:color="auto"/>
              <w:bottom w:val="single" w:sz="4" w:space="0" w:color="auto"/>
            </w:tcBorders>
            <w:shd w:val="clear" w:color="auto" w:fill="auto"/>
            <w:vAlign w:val="center"/>
          </w:tcPr>
          <w:p w14:paraId="59E51E90" w14:textId="77777777" w:rsidR="00303C47" w:rsidRPr="00B60938" w:rsidRDefault="00303C47" w:rsidP="00CB7B52">
            <w:pPr>
              <w:pStyle w:val="TAMainText"/>
              <w:spacing w:line="240" w:lineRule="auto"/>
              <w:ind w:firstLine="0"/>
            </w:pPr>
            <w:r w:rsidRPr="00B60938">
              <w:rPr>
                <w:rFonts w:cs="Times"/>
              </w:rPr>
              <w:t>84</w:t>
            </w:r>
          </w:p>
        </w:tc>
        <w:tc>
          <w:tcPr>
            <w:tcW w:w="709" w:type="dxa"/>
            <w:tcBorders>
              <w:top w:val="single" w:sz="4" w:space="0" w:color="auto"/>
              <w:bottom w:val="single" w:sz="4" w:space="0" w:color="auto"/>
            </w:tcBorders>
            <w:shd w:val="clear" w:color="auto" w:fill="auto"/>
            <w:vAlign w:val="center"/>
          </w:tcPr>
          <w:p w14:paraId="45D25D71" w14:textId="77777777" w:rsidR="00303C47" w:rsidRPr="00B60938" w:rsidRDefault="00303C47" w:rsidP="00CB7B52">
            <w:pPr>
              <w:pStyle w:val="TAMainText"/>
              <w:spacing w:line="240" w:lineRule="auto"/>
              <w:ind w:firstLine="0"/>
            </w:pPr>
            <w:r w:rsidRPr="00B60938">
              <w:rPr>
                <w:rFonts w:cs="Times"/>
              </w:rPr>
              <w:t>81</w:t>
            </w:r>
          </w:p>
        </w:tc>
      </w:tr>
    </w:tbl>
    <w:p w14:paraId="64186099" w14:textId="77777777" w:rsidR="00A41F7D" w:rsidRPr="00B60938" w:rsidRDefault="00A41F7D" w:rsidP="00E50862">
      <w:pPr>
        <w:pStyle w:val="TAMainText"/>
        <w:ind w:firstLine="0"/>
        <w:rPr>
          <w:b/>
          <w:lang w:val="it-IT"/>
        </w:rPr>
      </w:pPr>
    </w:p>
    <w:p w14:paraId="78518DD6" w14:textId="77777777" w:rsidR="00AA5992" w:rsidRDefault="00AA5992" w:rsidP="00E50862">
      <w:pPr>
        <w:pStyle w:val="TAMainText"/>
        <w:ind w:firstLine="0"/>
        <w:rPr>
          <w:b/>
        </w:rPr>
      </w:pPr>
    </w:p>
    <w:p w14:paraId="6BBB562E" w14:textId="12605098" w:rsidR="00AA5992" w:rsidRDefault="00C449A9" w:rsidP="00E50862">
      <w:pPr>
        <w:pStyle w:val="TAMainText"/>
        <w:ind w:firstLine="0"/>
        <w:rPr>
          <w:b/>
        </w:rPr>
      </w:pPr>
      <w:r>
        <w:rPr>
          <w:b/>
        </w:rPr>
        <w:t xml:space="preserve">2.3.5 Effects of novel BPs on mineralization of </w:t>
      </w:r>
      <w:r w:rsidR="000526E4">
        <w:rPr>
          <w:b/>
        </w:rPr>
        <w:t xml:space="preserve">pre-osteblastic cell line </w:t>
      </w:r>
    </w:p>
    <w:p w14:paraId="782E8F66" w14:textId="55152D7A" w:rsidR="00303C47" w:rsidRPr="00B60938" w:rsidRDefault="00303C47" w:rsidP="00E50862">
      <w:pPr>
        <w:pStyle w:val="TAMainText"/>
        <w:ind w:firstLine="0"/>
        <w:rPr>
          <w:szCs w:val="24"/>
        </w:rPr>
      </w:pPr>
      <w:r w:rsidRPr="00B60938">
        <w:rPr>
          <w:szCs w:val="24"/>
        </w:rPr>
        <w:t>In the mineralization assay</w:t>
      </w:r>
      <w:r w:rsidRPr="00B60938">
        <w:rPr>
          <w:rFonts w:cs="Times"/>
          <w:szCs w:val="24"/>
        </w:rPr>
        <w:t xml:space="preserve"> performed on </w:t>
      </w:r>
      <w:r w:rsidRPr="00B60938">
        <w:rPr>
          <w:szCs w:val="24"/>
        </w:rPr>
        <w:t>pre-osteoblastic like cell line</w:t>
      </w:r>
      <w:r w:rsidRPr="00B60938">
        <w:rPr>
          <w:rFonts w:cs="Times"/>
          <w:szCs w:val="24"/>
        </w:rPr>
        <w:t xml:space="preserve"> MC3T3-E1</w:t>
      </w:r>
      <w:r w:rsidRPr="00B60938">
        <w:rPr>
          <w:szCs w:val="24"/>
        </w:rPr>
        <w:t>, the compounds under investigation were capable to induce osteoblastogenesis and mineralization in the nanomolar concentration range (30-500</w:t>
      </w:r>
      <w:r w:rsidRPr="00B60938">
        <w:rPr>
          <w:szCs w:val="24"/>
          <w:vertAlign w:val="superscript"/>
        </w:rPr>
        <w:t xml:space="preserve"> </w:t>
      </w:r>
      <w:r w:rsidRPr="00B60938">
        <w:rPr>
          <w:szCs w:val="24"/>
        </w:rPr>
        <w:t xml:space="preserve">nM) after 10-15 days of incubation of the cells with the mineralization medium (MM). No effects were observed at micromolar concentration range. The most effective drugs in inducing mineralization were ZOL and </w:t>
      </w:r>
      <w:r w:rsidRPr="00B60938">
        <w:rPr>
          <w:b/>
          <w:szCs w:val="24"/>
        </w:rPr>
        <w:t xml:space="preserve">10 </w:t>
      </w:r>
      <w:r w:rsidRPr="00B60938">
        <w:rPr>
          <w:szCs w:val="24"/>
        </w:rPr>
        <w:t xml:space="preserve">(Figure </w:t>
      </w:r>
      <w:r w:rsidR="00FA303D" w:rsidRPr="00B60938">
        <w:rPr>
          <w:szCs w:val="24"/>
        </w:rPr>
        <w:t>8A</w:t>
      </w:r>
      <w:r w:rsidRPr="00B60938">
        <w:rPr>
          <w:szCs w:val="24"/>
        </w:rPr>
        <w:t xml:space="preserve">) at 30 nM concentration, </w:t>
      </w:r>
      <w:r w:rsidR="007B1B97" w:rsidRPr="00B60938">
        <w:rPr>
          <w:szCs w:val="24"/>
        </w:rPr>
        <w:t xml:space="preserve">whereas </w:t>
      </w:r>
      <w:r w:rsidRPr="00B60938">
        <w:rPr>
          <w:szCs w:val="24"/>
        </w:rPr>
        <w:t xml:space="preserve">at 50 nM the compound </w:t>
      </w:r>
      <w:r w:rsidRPr="00B60938">
        <w:rPr>
          <w:b/>
          <w:szCs w:val="24"/>
        </w:rPr>
        <w:t>10</w:t>
      </w:r>
      <w:r w:rsidRPr="00B60938">
        <w:rPr>
          <w:szCs w:val="24"/>
        </w:rPr>
        <w:t xml:space="preserve"> was more effective than ZOL.</w:t>
      </w:r>
    </w:p>
    <w:p w14:paraId="2D403477" w14:textId="77777777" w:rsidR="00303C47" w:rsidRPr="00B60938" w:rsidRDefault="00303C47" w:rsidP="00CB7B52">
      <w:pPr>
        <w:widowControl w:val="0"/>
        <w:autoSpaceDE w:val="0"/>
        <w:autoSpaceDN w:val="0"/>
        <w:adjustRightInd w:val="0"/>
        <w:spacing w:after="240" w:line="276" w:lineRule="auto"/>
        <w:jc w:val="both"/>
        <w:outlineLvl w:val="0"/>
        <w:rPr>
          <w:b/>
          <w:lang w:val="en-GB"/>
        </w:rPr>
      </w:pPr>
      <w:r w:rsidRPr="00B60938">
        <w:rPr>
          <w:b/>
          <w:noProof/>
          <w:lang w:eastAsia="en-US"/>
        </w:rPr>
        <w:lastRenderedPageBreak/>
        <w:drawing>
          <wp:inline distT="0" distB="0" distL="0" distR="0" wp14:anchorId="26F18034" wp14:editId="19D008B6">
            <wp:extent cx="5943600" cy="3120390"/>
            <wp:effectExtent l="0" t="0" r="0" b="381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3120390"/>
                    </a:xfrm>
                    <a:prstGeom prst="rect">
                      <a:avLst/>
                    </a:prstGeom>
                  </pic:spPr>
                </pic:pic>
              </a:graphicData>
            </a:graphic>
          </wp:inline>
        </w:drawing>
      </w:r>
    </w:p>
    <w:p w14:paraId="13298F2D" w14:textId="7769B141" w:rsidR="00303C47" w:rsidRPr="00192DB5" w:rsidRDefault="00303C47" w:rsidP="00CB7B52">
      <w:pPr>
        <w:widowControl w:val="0"/>
        <w:autoSpaceDE w:val="0"/>
        <w:autoSpaceDN w:val="0"/>
        <w:adjustRightInd w:val="0"/>
        <w:spacing w:after="240" w:line="360" w:lineRule="auto"/>
        <w:jc w:val="both"/>
        <w:outlineLvl w:val="0"/>
        <w:rPr>
          <w:bCs/>
          <w:sz w:val="20"/>
          <w:szCs w:val="20"/>
          <w:lang w:val="en-GB"/>
        </w:rPr>
      </w:pPr>
      <w:r w:rsidRPr="00192DB5">
        <w:rPr>
          <w:b/>
          <w:sz w:val="20"/>
          <w:szCs w:val="20"/>
          <w:lang w:val="en-GB"/>
        </w:rPr>
        <w:t xml:space="preserve">Figure </w:t>
      </w:r>
      <w:r w:rsidR="00FA303D" w:rsidRPr="00192DB5">
        <w:rPr>
          <w:b/>
          <w:sz w:val="20"/>
          <w:szCs w:val="20"/>
          <w:lang w:val="en-GB"/>
        </w:rPr>
        <w:t>8</w:t>
      </w:r>
      <w:r w:rsidRPr="00192DB5">
        <w:rPr>
          <w:b/>
          <w:sz w:val="20"/>
          <w:szCs w:val="20"/>
          <w:lang w:val="en-GB"/>
        </w:rPr>
        <w:t xml:space="preserve">. </w:t>
      </w:r>
      <w:r w:rsidRPr="00192DB5">
        <w:rPr>
          <w:sz w:val="20"/>
          <w:szCs w:val="20"/>
          <w:lang w:val="en-GB"/>
        </w:rPr>
        <w:t>Percentage (%) of mineralization in the absence (CTRL MM) or in the presence of</w:t>
      </w:r>
      <w:r w:rsidRPr="00192DB5">
        <w:rPr>
          <w:b/>
          <w:sz w:val="20"/>
          <w:szCs w:val="20"/>
          <w:lang w:val="en-GB"/>
        </w:rPr>
        <w:t xml:space="preserve"> </w:t>
      </w:r>
      <w:r w:rsidRPr="00192DB5">
        <w:rPr>
          <w:bCs/>
          <w:sz w:val="20"/>
          <w:szCs w:val="20"/>
          <w:lang w:val="en-GB"/>
        </w:rPr>
        <w:t xml:space="preserve">zoledronic (ZOL), alendronic (ALE), risedronic acid (RIS) and </w:t>
      </w:r>
      <w:r w:rsidRPr="00192DB5">
        <w:rPr>
          <w:b/>
          <w:bCs/>
          <w:sz w:val="20"/>
          <w:szCs w:val="20"/>
          <w:lang w:val="en-GB"/>
        </w:rPr>
        <w:t xml:space="preserve">10 </w:t>
      </w:r>
      <w:r w:rsidRPr="00192DB5">
        <w:rPr>
          <w:bCs/>
          <w:sz w:val="20"/>
          <w:szCs w:val="20"/>
          <w:lang w:val="en-GB"/>
        </w:rPr>
        <w:t xml:space="preserve">at 30 nM and 50 nM concentrations </w:t>
      </w:r>
      <w:r w:rsidRPr="00192DB5">
        <w:rPr>
          <w:sz w:val="20"/>
          <w:szCs w:val="20"/>
          <w:lang w:val="en-GB"/>
        </w:rPr>
        <w:t xml:space="preserve">in MC3T3-E1 murine osteoblast like cells </w:t>
      </w:r>
      <w:r w:rsidRPr="00192DB5">
        <w:rPr>
          <w:bCs/>
          <w:sz w:val="20"/>
          <w:szCs w:val="20"/>
          <w:lang w:val="en-GB"/>
        </w:rPr>
        <w:t xml:space="preserve">(A) and bone marrow cells (B) and at 50 nM and 100 nM concentrations in bone marrow cells co-cultured with PC3 (C). *Data significantly different </w:t>
      </w:r>
      <w:r w:rsidRPr="00192DB5">
        <w:rPr>
          <w:bCs/>
          <w:i/>
          <w:sz w:val="20"/>
          <w:szCs w:val="20"/>
          <w:lang w:val="en-GB"/>
        </w:rPr>
        <w:t>vs</w:t>
      </w:r>
      <w:r w:rsidRPr="00192DB5">
        <w:rPr>
          <w:bCs/>
          <w:sz w:val="20"/>
          <w:szCs w:val="20"/>
          <w:lang w:val="en-GB"/>
        </w:rPr>
        <w:t xml:space="preserve"> controls (CTRL MM) as evaluated by </w:t>
      </w:r>
      <w:r w:rsidRPr="00192DB5">
        <w:rPr>
          <w:bCs/>
          <w:i/>
          <w:sz w:val="20"/>
          <w:szCs w:val="20"/>
          <w:lang w:val="en-GB"/>
        </w:rPr>
        <w:t xml:space="preserve">student t test </w:t>
      </w:r>
      <w:r w:rsidRPr="00192DB5">
        <w:rPr>
          <w:bCs/>
          <w:sz w:val="20"/>
          <w:szCs w:val="20"/>
          <w:lang w:val="en-GB"/>
        </w:rPr>
        <w:t>(p &lt; 0.05).</w:t>
      </w:r>
    </w:p>
    <w:p w14:paraId="3C6671F0" w14:textId="77777777" w:rsidR="00303C47" w:rsidRPr="00B60938" w:rsidRDefault="00303C47" w:rsidP="00CB7B52">
      <w:pPr>
        <w:widowControl w:val="0"/>
        <w:autoSpaceDE w:val="0"/>
        <w:autoSpaceDN w:val="0"/>
        <w:adjustRightInd w:val="0"/>
        <w:spacing w:after="240" w:line="276" w:lineRule="auto"/>
        <w:jc w:val="both"/>
        <w:outlineLvl w:val="0"/>
        <w:rPr>
          <w:bCs/>
        </w:rPr>
      </w:pPr>
    </w:p>
    <w:p w14:paraId="412DCDB1" w14:textId="45E06F62" w:rsidR="00303C47" w:rsidRPr="00B60938" w:rsidRDefault="00303C47" w:rsidP="00CB7B52">
      <w:pPr>
        <w:spacing w:line="480" w:lineRule="auto"/>
        <w:jc w:val="both"/>
        <w:outlineLvl w:val="0"/>
        <w:rPr>
          <w:b/>
        </w:rPr>
      </w:pPr>
      <w:r w:rsidRPr="00B60938">
        <w:rPr>
          <w:b/>
        </w:rPr>
        <w:t>2.3.</w:t>
      </w:r>
      <w:r w:rsidR="00DE482E">
        <w:rPr>
          <w:b/>
        </w:rPr>
        <w:t>6</w:t>
      </w:r>
      <w:r w:rsidRPr="00B60938">
        <w:rPr>
          <w:b/>
        </w:rPr>
        <w:t xml:space="preserve"> </w:t>
      </w:r>
      <w:r w:rsidR="00DE482E" w:rsidRPr="00B60938">
        <w:rPr>
          <w:b/>
          <w:i/>
        </w:rPr>
        <w:t>Ex vivo</w:t>
      </w:r>
      <w:r w:rsidR="00DE482E">
        <w:rPr>
          <w:b/>
        </w:rPr>
        <w:t xml:space="preserve"> investigation on the effects of BPs </w:t>
      </w:r>
      <w:r w:rsidRPr="00B60938">
        <w:rPr>
          <w:b/>
        </w:rPr>
        <w:t>on murine bone marrow cells</w:t>
      </w:r>
      <w:r w:rsidR="00DE482E" w:rsidRPr="00DE482E">
        <w:rPr>
          <w:b/>
          <w:i/>
        </w:rPr>
        <w:t xml:space="preserve"> </w:t>
      </w:r>
    </w:p>
    <w:p w14:paraId="1538E069" w14:textId="3E9DA6FE" w:rsidR="00303C47" w:rsidRPr="00B60938" w:rsidRDefault="00303C47" w:rsidP="00E50862">
      <w:pPr>
        <w:pStyle w:val="TAMainText"/>
        <w:ind w:firstLine="0"/>
      </w:pPr>
      <w:r w:rsidRPr="00B60938">
        <w:t>In the mineralization assay,</w:t>
      </w:r>
      <w:r w:rsidRPr="00B60938">
        <w:rPr>
          <w:rFonts w:cs="Times"/>
        </w:rPr>
        <w:t xml:space="preserve"> performed on bone marrow cells</w:t>
      </w:r>
      <w:r w:rsidR="004E353C" w:rsidRPr="004E353C">
        <w:t xml:space="preserve"> </w:t>
      </w:r>
      <w:r w:rsidR="004E353C" w:rsidRPr="00B60938">
        <w:t>extracted from tibia and femur</w:t>
      </w:r>
      <w:r w:rsidR="004E353C">
        <w:t xml:space="preserve"> of the mice</w:t>
      </w:r>
      <w:r w:rsidRPr="00B60938">
        <w:rPr>
          <w:rFonts w:cs="Times"/>
        </w:rPr>
        <w:t xml:space="preserve">, </w:t>
      </w:r>
      <w:r w:rsidRPr="00B60938">
        <w:t xml:space="preserve">the compounds under investigation were capable to induce osteoblastogenesis and mineralization in the nanomolar concentration range (30-50 nM), after 10-15 days of incubation of the cells with the MM. The rank order of efficacy in inducing mineralization at 50 nM was: </w:t>
      </w:r>
      <w:r w:rsidRPr="00B60938">
        <w:rPr>
          <w:b/>
        </w:rPr>
        <w:t>10</w:t>
      </w:r>
      <w:r w:rsidRPr="00B60938">
        <w:t xml:space="preserve"> &gt; ZOL &gt; RIS = ALE (Figure </w:t>
      </w:r>
      <w:r w:rsidR="00FA303D" w:rsidRPr="00B60938">
        <w:t>8B</w:t>
      </w:r>
      <w:r w:rsidRPr="00B60938">
        <w:t>).</w:t>
      </w:r>
      <w:r w:rsidR="004E353C" w:rsidRPr="004E353C">
        <w:t xml:space="preserve"> </w:t>
      </w:r>
      <w:r w:rsidR="004E353C" w:rsidRPr="00B60938">
        <w:t>No effects were observed at micromolar concentration range.</w:t>
      </w:r>
    </w:p>
    <w:p w14:paraId="4205DF35" w14:textId="649A34A5" w:rsidR="00303C47" w:rsidRPr="00B60938" w:rsidRDefault="004E353C" w:rsidP="009E4114">
      <w:pPr>
        <w:pStyle w:val="TAMainText"/>
      </w:pPr>
      <w:r>
        <w:t>T</w:t>
      </w:r>
      <w:r w:rsidR="00303C47" w:rsidRPr="00B60938">
        <w:t>he compounds under investigation were capable to induce osteoblastogenesis and mineralization in the nanomolar concentration range (30</w:t>
      </w:r>
      <w:r w:rsidR="00303C47" w:rsidRPr="00B60938">
        <w:rPr>
          <w:szCs w:val="24"/>
        </w:rPr>
        <w:t>-50 nM</w:t>
      </w:r>
      <w:r w:rsidR="00303C47" w:rsidRPr="00B60938">
        <w:t xml:space="preserve">) after 10-15 days of </w:t>
      </w:r>
      <w:r>
        <w:t>co-</w:t>
      </w:r>
      <w:r w:rsidR="00303C47" w:rsidRPr="00B60938">
        <w:t xml:space="preserve">incubation of the cells with </w:t>
      </w:r>
      <w:r w:rsidRPr="00B60938">
        <w:rPr>
          <w:rFonts w:cs="Times"/>
        </w:rPr>
        <w:t>PC3 tumor prostate cancer</w:t>
      </w:r>
      <w:r w:rsidRPr="00B60938" w:rsidDel="00D66EBB">
        <w:rPr>
          <w:rFonts w:cs="Times"/>
        </w:rPr>
        <w:t xml:space="preserve"> </w:t>
      </w:r>
      <w:r w:rsidRPr="00B60938">
        <w:rPr>
          <w:rFonts w:cs="Times"/>
        </w:rPr>
        <w:t>cells</w:t>
      </w:r>
      <w:r w:rsidR="00303C47" w:rsidRPr="00B60938">
        <w:t xml:space="preserve">. The compound </w:t>
      </w:r>
      <w:r w:rsidR="00303C47" w:rsidRPr="00B60938">
        <w:rPr>
          <w:b/>
        </w:rPr>
        <w:t>10</w:t>
      </w:r>
      <w:r w:rsidR="00303C47" w:rsidRPr="00B60938">
        <w:t xml:space="preserve"> and ZOL were equally effective in inducing mineralization while RIS and ALE were not effe</w:t>
      </w:r>
      <w:r w:rsidR="00CB378C">
        <w:t>c</w:t>
      </w:r>
      <w:r w:rsidR="00303C47" w:rsidRPr="00B60938">
        <w:t xml:space="preserve">tive (Figure </w:t>
      </w:r>
      <w:r w:rsidR="00FA303D" w:rsidRPr="00B60938">
        <w:t>8C</w:t>
      </w:r>
      <w:r w:rsidR="00303C47" w:rsidRPr="00B60938">
        <w:t>).</w:t>
      </w:r>
      <w:r w:rsidRPr="004E353C">
        <w:t xml:space="preserve"> </w:t>
      </w:r>
      <w:r w:rsidRPr="00B60938">
        <w:t>No effects were observed at micromolar concentration range</w:t>
      </w:r>
      <w:r>
        <w:t>.</w:t>
      </w:r>
    </w:p>
    <w:p w14:paraId="7650BD88" w14:textId="643DFE59" w:rsidR="00303C47" w:rsidRPr="00B60938" w:rsidRDefault="00DE482E" w:rsidP="001D6C6C">
      <w:pPr>
        <w:spacing w:line="480" w:lineRule="auto"/>
        <w:ind w:firstLine="202"/>
        <w:jc w:val="both"/>
        <w:outlineLvl w:val="0"/>
      </w:pPr>
      <w:r>
        <w:lastRenderedPageBreak/>
        <w:t xml:space="preserve">To evaluate the </w:t>
      </w:r>
      <w:r w:rsidR="00786964">
        <w:t>specificity of cyto</w:t>
      </w:r>
      <w:r w:rsidR="00186E8C">
        <w:t xml:space="preserve">toxic action of the novel BPs, the effects of these compounds were tested on murine bone marrow cells (30 nM-500 </w:t>
      </w:r>
      <w:r w:rsidR="00186E8C" w:rsidRPr="001D6C6C">
        <w:rPr>
          <w:rFonts w:ascii="Symbol" w:hAnsi="Symbol"/>
          <w:i/>
        </w:rPr>
        <w:t></w:t>
      </w:r>
      <w:r w:rsidR="00186E8C">
        <w:t>M)</w:t>
      </w:r>
      <w:r w:rsidR="00965C44">
        <w:t xml:space="preserve"> in control condition</w:t>
      </w:r>
      <w:r w:rsidR="00186E8C">
        <w:t>. T</w:t>
      </w:r>
      <w:r w:rsidR="00186E8C" w:rsidRPr="00B60938">
        <w:t xml:space="preserve">he </w:t>
      </w:r>
      <w:r w:rsidR="00303C47" w:rsidRPr="00B60938">
        <w:t xml:space="preserve">incubation of native cells with RIS and ALE for 72 hours did not produce any significant effects on proliferation of bone marrow cells (Figure </w:t>
      </w:r>
      <w:r w:rsidR="00FA303D" w:rsidRPr="00B60938">
        <w:t>9</w:t>
      </w:r>
      <w:r w:rsidR="00303C47" w:rsidRPr="00B60938">
        <w:t xml:space="preserve">). The significant change in variance calculated by one-way ANOVA was due to the proliferative effects of the structural analogue </w:t>
      </w:r>
      <w:r w:rsidR="00303C47" w:rsidRPr="00B60938">
        <w:rPr>
          <w:b/>
        </w:rPr>
        <w:t xml:space="preserve">10 </w:t>
      </w:r>
      <w:r w:rsidR="00303C47" w:rsidRPr="00B60938">
        <w:t xml:space="preserve">at 30 nM and ZOL at 100 nM concentrations and to the anti-proliferative effects of ZOL at 100 </w:t>
      </w:r>
      <w:r w:rsidR="008D60F6" w:rsidRPr="00B60938">
        <w:t xml:space="preserve">µM </w:t>
      </w:r>
      <w:r w:rsidR="00303C47" w:rsidRPr="00B60938">
        <w:t>and 500 µM concentrations.</w:t>
      </w:r>
      <w:r w:rsidR="00761D5B">
        <w:rPr>
          <w:u w:val="single"/>
        </w:rPr>
        <w:t xml:space="preserve"> </w:t>
      </w:r>
      <w:r w:rsidR="00761D5B" w:rsidRPr="001D6C6C">
        <w:rPr>
          <w:u w:val="single"/>
        </w:rPr>
        <w:t xml:space="preserve"> </w:t>
      </w:r>
    </w:p>
    <w:p w14:paraId="050F1FC8" w14:textId="77777777" w:rsidR="00E001CE" w:rsidRPr="00B60938" w:rsidRDefault="00E001CE" w:rsidP="00CB7B52">
      <w:pPr>
        <w:spacing w:line="480" w:lineRule="auto"/>
        <w:jc w:val="both"/>
        <w:outlineLvl w:val="0"/>
        <w:rPr>
          <w:b/>
        </w:rPr>
      </w:pPr>
    </w:p>
    <w:p w14:paraId="1283FCFA" w14:textId="75CB33DC" w:rsidR="00303C47" w:rsidRPr="00B60938" w:rsidRDefault="007B1B97" w:rsidP="007B1B97">
      <w:pPr>
        <w:autoSpaceDE w:val="0"/>
        <w:autoSpaceDN w:val="0"/>
        <w:adjustRightInd w:val="0"/>
        <w:spacing w:after="240" w:line="360" w:lineRule="atLeast"/>
        <w:jc w:val="center"/>
        <w:rPr>
          <w:rFonts w:cs="Times"/>
          <w:b/>
          <w:bCs/>
        </w:rPr>
      </w:pPr>
      <w:r w:rsidRPr="00B60938">
        <w:rPr>
          <w:rFonts w:cs="Times"/>
          <w:b/>
          <w:bCs/>
          <w:noProof/>
          <w:lang w:eastAsia="en-US"/>
        </w:rPr>
        <w:drawing>
          <wp:inline distT="0" distB="0" distL="0" distR="0" wp14:anchorId="51291F98" wp14:editId="31ADDB84">
            <wp:extent cx="4139979" cy="2314767"/>
            <wp:effectExtent l="0" t="0" r="0" b="0"/>
            <wp:docPr id="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40849" cy="2315253"/>
                    </a:xfrm>
                    <a:prstGeom prst="rect">
                      <a:avLst/>
                    </a:prstGeom>
                    <a:noFill/>
                    <a:ln>
                      <a:noFill/>
                    </a:ln>
                  </pic:spPr>
                </pic:pic>
              </a:graphicData>
            </a:graphic>
          </wp:inline>
        </w:drawing>
      </w:r>
    </w:p>
    <w:p w14:paraId="6C8CABF4" w14:textId="49C485C2" w:rsidR="00303C47" w:rsidRPr="00192DB5" w:rsidRDefault="00303C47" w:rsidP="00CB7B52">
      <w:pPr>
        <w:autoSpaceDE w:val="0"/>
        <w:autoSpaceDN w:val="0"/>
        <w:adjustRightInd w:val="0"/>
        <w:spacing w:after="240" w:line="360" w:lineRule="auto"/>
        <w:jc w:val="both"/>
        <w:rPr>
          <w:sz w:val="20"/>
          <w:szCs w:val="20"/>
        </w:rPr>
      </w:pPr>
      <w:r w:rsidRPr="00192DB5">
        <w:rPr>
          <w:rFonts w:cs="Times"/>
          <w:b/>
          <w:bCs/>
          <w:sz w:val="20"/>
          <w:szCs w:val="20"/>
        </w:rPr>
        <w:t xml:space="preserve">Figure </w:t>
      </w:r>
      <w:r w:rsidR="00FA303D" w:rsidRPr="00192DB5">
        <w:rPr>
          <w:rFonts w:cs="Times"/>
          <w:b/>
          <w:bCs/>
          <w:sz w:val="20"/>
          <w:szCs w:val="20"/>
        </w:rPr>
        <w:t>9</w:t>
      </w:r>
      <w:r w:rsidRPr="00192DB5">
        <w:rPr>
          <w:rFonts w:cs="Times"/>
          <w:b/>
          <w:bCs/>
          <w:sz w:val="20"/>
          <w:szCs w:val="20"/>
        </w:rPr>
        <w:t xml:space="preserve">. </w:t>
      </w:r>
      <w:r w:rsidRPr="00192DB5">
        <w:rPr>
          <w:rFonts w:cs="Times"/>
          <w:sz w:val="20"/>
          <w:szCs w:val="20"/>
        </w:rPr>
        <w:t xml:space="preserve">Effects of commercially available bisphosphonates and their novel structural analogues </w:t>
      </w:r>
      <w:r w:rsidRPr="00192DB5">
        <w:rPr>
          <w:rFonts w:cs="Times"/>
          <w:b/>
          <w:bCs/>
          <w:sz w:val="20"/>
          <w:szCs w:val="20"/>
        </w:rPr>
        <w:t xml:space="preserve">10 </w:t>
      </w:r>
      <w:r w:rsidRPr="00192DB5">
        <w:rPr>
          <w:rFonts w:cs="Times"/>
          <w:sz w:val="20"/>
          <w:szCs w:val="20"/>
        </w:rPr>
        <w:t xml:space="preserve">on viability of murine bone marrow cells at different concentrations by crystal violet (CV) assay after 72 hours of incubation. Data were statistically different between groups as determined by ANOVA one way (p &lt; 0.05). </w:t>
      </w:r>
    </w:p>
    <w:p w14:paraId="6BADA520" w14:textId="77777777" w:rsidR="00303C47" w:rsidRPr="00B60938" w:rsidRDefault="00303C47" w:rsidP="00CB7B52">
      <w:pPr>
        <w:jc w:val="both"/>
      </w:pPr>
    </w:p>
    <w:p w14:paraId="7FA4B5A1" w14:textId="77777777" w:rsidR="00303C47" w:rsidRPr="00B60938" w:rsidRDefault="00303C47" w:rsidP="009E4114">
      <w:pPr>
        <w:pStyle w:val="TAMainText"/>
        <w:outlineLvl w:val="0"/>
        <w:rPr>
          <w:b/>
          <w:bCs/>
        </w:rPr>
      </w:pPr>
      <w:r w:rsidRPr="00B60938">
        <w:rPr>
          <w:b/>
          <w:bCs/>
        </w:rPr>
        <w:t>3. Conclusion</w:t>
      </w:r>
    </w:p>
    <w:p w14:paraId="67E18B4E" w14:textId="395379EB" w:rsidR="000776AF" w:rsidRDefault="00761D5B" w:rsidP="00BA1AC8">
      <w:pPr>
        <w:pStyle w:val="TAMainText"/>
        <w:rPr>
          <w:rFonts w:ascii="Times New Roman" w:hAnsi="Times New Roman"/>
          <w:szCs w:val="24"/>
          <w:lang w:val="en-GB"/>
        </w:rPr>
      </w:pPr>
      <w:r>
        <w:rPr>
          <w:bCs/>
        </w:rPr>
        <w:t>The novel synthetized c</w:t>
      </w:r>
      <w:r w:rsidRPr="00B60938">
        <w:rPr>
          <w:bCs/>
        </w:rPr>
        <w:t xml:space="preserve">ompound </w:t>
      </w:r>
      <w:r w:rsidRPr="00B60938">
        <w:rPr>
          <w:b/>
          <w:bCs/>
        </w:rPr>
        <w:t>10</w:t>
      </w:r>
      <w:r w:rsidRPr="00B60938">
        <w:rPr>
          <w:bCs/>
        </w:rPr>
        <w:t xml:space="preserve"> was more effective than ZOL in inducing mineralization of osteoblasts in native murine bone marrow cells</w:t>
      </w:r>
      <w:r w:rsidR="00DF6B14">
        <w:rPr>
          <w:bCs/>
        </w:rPr>
        <w:t xml:space="preserve"> </w:t>
      </w:r>
      <w:r w:rsidR="00CF02A9">
        <w:rPr>
          <w:bCs/>
        </w:rPr>
        <w:t>following long term exposure of the cells</w:t>
      </w:r>
      <w:r w:rsidR="00AB5685">
        <w:rPr>
          <w:bCs/>
        </w:rPr>
        <w:t xml:space="preserve"> (14 days) still maintaining antiproliferative action against osteoclasts</w:t>
      </w:r>
      <w:r w:rsidR="00F8319C" w:rsidRPr="00B60938">
        <w:rPr>
          <w:bCs/>
        </w:rPr>
        <w:t xml:space="preserve">. </w:t>
      </w:r>
      <w:r>
        <w:rPr>
          <w:bCs/>
        </w:rPr>
        <w:t>Th</w:t>
      </w:r>
      <w:r w:rsidR="00EC74DA">
        <w:rPr>
          <w:bCs/>
        </w:rPr>
        <w:t>is</w:t>
      </w:r>
      <w:r w:rsidRPr="00B60938">
        <w:rPr>
          <w:bCs/>
        </w:rPr>
        <w:t xml:space="preserve"> compound induced mineralization </w:t>
      </w:r>
      <w:r w:rsidR="00D10206">
        <w:rPr>
          <w:bCs/>
        </w:rPr>
        <w:t>of osteoblast</w:t>
      </w:r>
      <w:r w:rsidR="00EC7111">
        <w:rPr>
          <w:bCs/>
        </w:rPr>
        <w:t xml:space="preserve"> </w:t>
      </w:r>
      <w:r w:rsidR="00D10206">
        <w:rPr>
          <w:bCs/>
        </w:rPr>
        <w:t>cell line in the absence and</w:t>
      </w:r>
      <w:r w:rsidRPr="00B60938">
        <w:rPr>
          <w:bCs/>
        </w:rPr>
        <w:t xml:space="preserve"> in the presence of cancerous PC3 cells, suggesting an interesting capability to preserve bone volume and density in bone </w:t>
      </w:r>
      <w:r>
        <w:rPr>
          <w:bCs/>
        </w:rPr>
        <w:t>lytic disease</w:t>
      </w:r>
      <w:r w:rsidR="0031751D">
        <w:rPr>
          <w:bCs/>
        </w:rPr>
        <w:t>s</w:t>
      </w:r>
      <w:r>
        <w:rPr>
          <w:bCs/>
        </w:rPr>
        <w:t xml:space="preserve"> </w:t>
      </w:r>
      <w:r w:rsidR="00D10206">
        <w:rPr>
          <w:bCs/>
        </w:rPr>
        <w:t>associated with SRE</w:t>
      </w:r>
      <w:r w:rsidRPr="00B60938">
        <w:rPr>
          <w:bCs/>
        </w:rPr>
        <w:t>.</w:t>
      </w:r>
      <w:r w:rsidRPr="00B60938">
        <w:rPr>
          <w:rFonts w:ascii="Times New Roman" w:hAnsi="Times New Roman"/>
          <w:szCs w:val="24"/>
          <w:lang w:val="en-GB"/>
        </w:rPr>
        <w:t xml:space="preserve"> </w:t>
      </w:r>
      <w:r w:rsidR="00597743">
        <w:rPr>
          <w:rFonts w:ascii="Times New Roman" w:hAnsi="Times New Roman"/>
          <w:szCs w:val="24"/>
          <w:lang w:val="en-GB"/>
        </w:rPr>
        <w:t xml:space="preserve"> </w:t>
      </w:r>
    </w:p>
    <w:p w14:paraId="45591179" w14:textId="02B89BD9" w:rsidR="00EC7111" w:rsidRPr="001D6C6C" w:rsidRDefault="002300B4" w:rsidP="001D6C6C">
      <w:pPr>
        <w:pStyle w:val="TAMainText"/>
        <w:ind w:firstLine="0"/>
        <w:rPr>
          <w:rFonts w:ascii="Times New Roman" w:hAnsi="Times New Roman"/>
          <w:szCs w:val="24"/>
          <w:lang w:val="en-GB"/>
        </w:rPr>
      </w:pPr>
      <w:r>
        <w:rPr>
          <w:rFonts w:ascii="Times New Roman" w:hAnsi="Times New Roman"/>
          <w:szCs w:val="24"/>
          <w:lang w:val="en-GB"/>
        </w:rPr>
        <w:t xml:space="preserve">The specificity of </w:t>
      </w:r>
      <w:r w:rsidR="006237F2">
        <w:rPr>
          <w:rFonts w:ascii="Times New Roman" w:hAnsi="Times New Roman"/>
          <w:szCs w:val="24"/>
          <w:lang w:val="en-GB"/>
        </w:rPr>
        <w:t xml:space="preserve">the </w:t>
      </w:r>
      <w:r>
        <w:rPr>
          <w:rFonts w:ascii="Times New Roman" w:hAnsi="Times New Roman"/>
          <w:szCs w:val="24"/>
          <w:lang w:val="en-GB"/>
        </w:rPr>
        <w:t>antiproliferative action</w:t>
      </w:r>
      <w:r w:rsidR="00D36809">
        <w:rPr>
          <w:rFonts w:ascii="Times New Roman" w:hAnsi="Times New Roman"/>
          <w:szCs w:val="24"/>
          <w:lang w:val="en-GB"/>
        </w:rPr>
        <w:t xml:space="preserve"> of</w:t>
      </w:r>
      <w:r>
        <w:rPr>
          <w:rFonts w:ascii="Times New Roman" w:hAnsi="Times New Roman"/>
          <w:szCs w:val="24"/>
          <w:lang w:val="en-GB"/>
        </w:rPr>
        <w:t xml:space="preserve"> the compound </w:t>
      </w:r>
      <w:r w:rsidRPr="001D6C6C">
        <w:rPr>
          <w:rFonts w:ascii="Times New Roman" w:hAnsi="Times New Roman"/>
          <w:b/>
          <w:szCs w:val="24"/>
          <w:lang w:val="en-GB"/>
        </w:rPr>
        <w:t>10</w:t>
      </w:r>
      <w:r>
        <w:rPr>
          <w:rFonts w:ascii="Times New Roman" w:hAnsi="Times New Roman"/>
          <w:szCs w:val="24"/>
          <w:lang w:val="en-GB"/>
        </w:rPr>
        <w:t xml:space="preserve"> was demonstrated i</w:t>
      </w:r>
      <w:r w:rsidR="00A84D90">
        <w:rPr>
          <w:rFonts w:ascii="Times New Roman" w:hAnsi="Times New Roman"/>
          <w:szCs w:val="24"/>
          <w:lang w:val="en-GB"/>
        </w:rPr>
        <w:t>n</w:t>
      </w:r>
      <w:r w:rsidR="00761D5B">
        <w:rPr>
          <w:rFonts w:ascii="Times New Roman" w:hAnsi="Times New Roman"/>
          <w:szCs w:val="24"/>
          <w:lang w:val="en-GB"/>
        </w:rPr>
        <w:t xml:space="preserve"> </w:t>
      </w:r>
      <w:r w:rsidR="00A84D90">
        <w:rPr>
          <w:bCs/>
        </w:rPr>
        <w:t>c</w:t>
      </w:r>
      <w:r w:rsidR="00303C47" w:rsidRPr="00B60938">
        <w:rPr>
          <w:bCs/>
        </w:rPr>
        <w:t>ell-based proliferation assay</w:t>
      </w:r>
      <w:r w:rsidR="00A84D90">
        <w:rPr>
          <w:bCs/>
        </w:rPr>
        <w:t xml:space="preserve"> </w:t>
      </w:r>
      <w:r>
        <w:rPr>
          <w:bCs/>
        </w:rPr>
        <w:t xml:space="preserve">in which </w:t>
      </w:r>
      <w:r w:rsidR="006237F2">
        <w:rPr>
          <w:bCs/>
        </w:rPr>
        <w:t>this compound</w:t>
      </w:r>
      <w:r w:rsidR="00303C47" w:rsidRPr="00B60938">
        <w:rPr>
          <w:bCs/>
        </w:rPr>
        <w:t xml:space="preserve"> was capable to reduce cell viability in all cell lines </w:t>
      </w:r>
      <w:r w:rsidR="00420873">
        <w:rPr>
          <w:bCs/>
        </w:rPr>
        <w:t>including osteoclasts</w:t>
      </w:r>
      <w:r w:rsidR="00420873" w:rsidRPr="00B60938">
        <w:rPr>
          <w:bCs/>
        </w:rPr>
        <w:t xml:space="preserve"> </w:t>
      </w:r>
      <w:r w:rsidR="00303C47" w:rsidRPr="00B60938">
        <w:rPr>
          <w:bCs/>
        </w:rPr>
        <w:t xml:space="preserve">showing a large spectrum of action with respect to the other novel synthetized </w:t>
      </w:r>
      <w:r w:rsidR="00303C47" w:rsidRPr="00B60938">
        <w:rPr>
          <w:bCs/>
        </w:rPr>
        <w:lastRenderedPageBreak/>
        <w:t xml:space="preserve">compounds. </w:t>
      </w:r>
      <w:r w:rsidR="009E753B" w:rsidRPr="00B60938">
        <w:rPr>
          <w:rFonts w:ascii="Times New Roman" w:hAnsi="Times New Roman"/>
          <w:szCs w:val="24"/>
          <w:lang w:val="en-GB"/>
        </w:rPr>
        <w:t xml:space="preserve">A further point of interest is the fact that </w:t>
      </w:r>
      <w:r w:rsidR="009E753B">
        <w:rPr>
          <w:rFonts w:ascii="Times New Roman" w:hAnsi="Times New Roman"/>
          <w:szCs w:val="24"/>
          <w:lang w:val="en-GB"/>
        </w:rPr>
        <w:t xml:space="preserve">the compound </w:t>
      </w:r>
      <w:r w:rsidR="009E753B" w:rsidRPr="001D6C6C">
        <w:rPr>
          <w:rFonts w:ascii="Times New Roman" w:hAnsi="Times New Roman"/>
          <w:b/>
          <w:szCs w:val="24"/>
          <w:lang w:val="en-GB"/>
        </w:rPr>
        <w:t>10</w:t>
      </w:r>
      <w:r w:rsidR="009E753B">
        <w:rPr>
          <w:rFonts w:ascii="Times New Roman" w:hAnsi="Times New Roman"/>
          <w:szCs w:val="24"/>
          <w:lang w:val="en-GB"/>
        </w:rPr>
        <w:t xml:space="preserve"> did not produce significant anti-proliferative effects in the native murine bone marrow cells suggesting the lack of unselective </w:t>
      </w:r>
      <w:r w:rsidR="009E753B" w:rsidRPr="00B60938">
        <w:rPr>
          <w:rFonts w:ascii="Times New Roman" w:hAnsi="Times New Roman"/>
          <w:szCs w:val="24"/>
          <w:lang w:val="en-GB"/>
        </w:rPr>
        <w:t>cyto</w:t>
      </w:r>
      <w:r w:rsidR="00D36809">
        <w:rPr>
          <w:rFonts w:ascii="Times New Roman" w:hAnsi="Times New Roman"/>
          <w:szCs w:val="24"/>
          <w:lang w:val="en-GB"/>
        </w:rPr>
        <w:t>toxic effects</w:t>
      </w:r>
      <w:r w:rsidR="009E753B">
        <w:rPr>
          <w:rFonts w:ascii="Times New Roman" w:hAnsi="Times New Roman"/>
          <w:szCs w:val="24"/>
          <w:lang w:val="en-GB"/>
        </w:rPr>
        <w:t xml:space="preserve">, while </w:t>
      </w:r>
      <w:r w:rsidR="009E753B" w:rsidRPr="00B60938">
        <w:rPr>
          <w:rFonts w:ascii="Times New Roman" w:hAnsi="Times New Roman"/>
          <w:szCs w:val="24"/>
          <w:lang w:val="en-GB"/>
        </w:rPr>
        <w:t xml:space="preserve">ZOL </w:t>
      </w:r>
      <w:r w:rsidR="009027C6">
        <w:rPr>
          <w:rFonts w:ascii="Times New Roman" w:hAnsi="Times New Roman"/>
          <w:szCs w:val="24"/>
          <w:lang w:val="en-GB"/>
        </w:rPr>
        <w:t xml:space="preserve">significantly </w:t>
      </w:r>
      <w:r w:rsidR="009E753B">
        <w:rPr>
          <w:rFonts w:ascii="Times New Roman" w:hAnsi="Times New Roman"/>
          <w:szCs w:val="24"/>
          <w:lang w:val="en-GB"/>
        </w:rPr>
        <w:t>reduced</w:t>
      </w:r>
      <w:r w:rsidR="009E753B" w:rsidRPr="00B60938">
        <w:rPr>
          <w:rFonts w:ascii="Times New Roman" w:hAnsi="Times New Roman"/>
          <w:szCs w:val="24"/>
          <w:lang w:val="en-GB"/>
        </w:rPr>
        <w:t xml:space="preserve"> cell proliferation </w:t>
      </w:r>
      <w:r w:rsidR="00AB5685">
        <w:rPr>
          <w:rFonts w:ascii="Times New Roman" w:hAnsi="Times New Roman"/>
          <w:szCs w:val="24"/>
          <w:lang w:val="en-GB"/>
        </w:rPr>
        <w:t>of</w:t>
      </w:r>
      <w:r w:rsidR="009E753B">
        <w:rPr>
          <w:rFonts w:ascii="Times New Roman" w:hAnsi="Times New Roman"/>
          <w:szCs w:val="24"/>
          <w:lang w:val="en-GB"/>
        </w:rPr>
        <w:t xml:space="preserve"> about -20% in the same cells.</w:t>
      </w:r>
      <w:r w:rsidR="00EC7111">
        <w:rPr>
          <w:rFonts w:ascii="Times New Roman" w:hAnsi="Times New Roman"/>
          <w:szCs w:val="24"/>
          <w:lang w:val="en-GB"/>
        </w:rPr>
        <w:t xml:space="preserve"> </w:t>
      </w:r>
      <w:r w:rsidR="006A5558">
        <w:rPr>
          <w:rFonts w:ascii="Times New Roman" w:hAnsi="Times New Roman"/>
          <w:szCs w:val="24"/>
          <w:lang w:val="en-GB"/>
        </w:rPr>
        <w:t xml:space="preserve">Therefore, </w:t>
      </w:r>
      <w:r w:rsidR="006A5558">
        <w:rPr>
          <w:bCs/>
        </w:rPr>
        <w:t>t</w:t>
      </w:r>
      <w:r w:rsidR="009027C6">
        <w:rPr>
          <w:bCs/>
        </w:rPr>
        <w:t>he lack of unselective cytotoxicity against native cells</w:t>
      </w:r>
      <w:r w:rsidR="009027C6" w:rsidRPr="00DB7395">
        <w:rPr>
          <w:bCs/>
        </w:rPr>
        <w:t xml:space="preserve"> </w:t>
      </w:r>
      <w:r w:rsidR="009027C6">
        <w:rPr>
          <w:bCs/>
        </w:rPr>
        <w:t xml:space="preserve">of the compound 10 combined with </w:t>
      </w:r>
      <w:r w:rsidR="00493ABE">
        <w:rPr>
          <w:bCs/>
        </w:rPr>
        <w:t>the</w:t>
      </w:r>
      <w:r w:rsidR="006A5558">
        <w:rPr>
          <w:bCs/>
        </w:rPr>
        <w:t xml:space="preserve"> </w:t>
      </w:r>
      <w:r w:rsidR="009027C6">
        <w:rPr>
          <w:bCs/>
        </w:rPr>
        <w:t xml:space="preserve">osteoblastogenesis and osteoclastogenesis actions explains </w:t>
      </w:r>
      <w:r w:rsidR="006A5558">
        <w:rPr>
          <w:bCs/>
        </w:rPr>
        <w:t>the observed</w:t>
      </w:r>
      <w:r w:rsidR="009027C6">
        <w:rPr>
          <w:bCs/>
        </w:rPr>
        <w:t xml:space="preserve"> </w:t>
      </w:r>
      <w:r w:rsidR="00EC7111" w:rsidRPr="00DB7395">
        <w:rPr>
          <w:bCs/>
        </w:rPr>
        <w:t xml:space="preserve">efficacy in </w:t>
      </w:r>
      <w:r w:rsidR="00EC7111">
        <w:rPr>
          <w:bCs/>
        </w:rPr>
        <w:t>“</w:t>
      </w:r>
      <w:r w:rsidR="00EC7111" w:rsidRPr="00DB7395">
        <w:rPr>
          <w:bCs/>
        </w:rPr>
        <w:t>ex vivo</w:t>
      </w:r>
      <w:r w:rsidR="00EC7111">
        <w:rPr>
          <w:bCs/>
        </w:rPr>
        <w:t>”</w:t>
      </w:r>
      <w:r w:rsidR="00EC7111" w:rsidRPr="00DB7395">
        <w:rPr>
          <w:bCs/>
        </w:rPr>
        <w:t xml:space="preserve"> experiments </w:t>
      </w:r>
      <w:r w:rsidR="00EC7111">
        <w:rPr>
          <w:bCs/>
        </w:rPr>
        <w:t xml:space="preserve">in </w:t>
      </w:r>
      <w:r w:rsidR="009027C6">
        <w:rPr>
          <w:bCs/>
        </w:rPr>
        <w:t>murine bone marrow cells</w:t>
      </w:r>
      <w:r w:rsidR="00EC7111">
        <w:rPr>
          <w:bCs/>
        </w:rPr>
        <w:t xml:space="preserve">. </w:t>
      </w:r>
    </w:p>
    <w:p w14:paraId="188FBBE9" w14:textId="4B107412" w:rsidR="00303C47" w:rsidRPr="00B60938" w:rsidRDefault="009E753B" w:rsidP="001D6C6C">
      <w:pPr>
        <w:pStyle w:val="TAMainText"/>
        <w:ind w:firstLine="0"/>
        <w:rPr>
          <w:rFonts w:cs="Times"/>
        </w:rPr>
      </w:pPr>
      <w:r>
        <w:rPr>
          <w:rFonts w:ascii="Times New Roman" w:hAnsi="Times New Roman"/>
          <w:szCs w:val="24"/>
          <w:lang w:val="en-GB"/>
        </w:rPr>
        <w:t xml:space="preserve"> </w:t>
      </w:r>
      <w:r>
        <w:rPr>
          <w:bCs/>
          <w:lang w:val="en-GB"/>
        </w:rPr>
        <w:t>T</w:t>
      </w:r>
      <w:r w:rsidR="004B5838">
        <w:rPr>
          <w:bCs/>
        </w:rPr>
        <w:t xml:space="preserve">he compound </w:t>
      </w:r>
      <w:r w:rsidR="004B5838" w:rsidRPr="001D6C6C">
        <w:rPr>
          <w:b/>
          <w:bCs/>
        </w:rPr>
        <w:t>10</w:t>
      </w:r>
      <w:r w:rsidR="004B5838">
        <w:rPr>
          <w:bCs/>
        </w:rPr>
        <w:t xml:space="preserve"> was</w:t>
      </w:r>
      <w:r w:rsidR="007A7D45">
        <w:rPr>
          <w:bCs/>
        </w:rPr>
        <w:t xml:space="preserve"> effective in the </w:t>
      </w:r>
      <w:r w:rsidR="007A7D45">
        <w:t>h</w:t>
      </w:r>
      <w:r w:rsidR="007A7D45" w:rsidRPr="00B60938">
        <w:t>ydrox</w:t>
      </w:r>
      <w:r w:rsidR="007A7D45">
        <w:t xml:space="preserve">yapatite (HAP) binding (%) assay </w:t>
      </w:r>
      <w:r w:rsidR="007241F2">
        <w:t>as well as in binding the purified</w:t>
      </w:r>
      <w:r w:rsidR="007A7D45">
        <w:t xml:space="preserve"> </w:t>
      </w:r>
      <w:r w:rsidR="00E034BC" w:rsidRPr="00B60938">
        <w:rPr>
          <w:rFonts w:ascii="Times New Roman" w:hAnsi="Times New Roman"/>
          <w:i/>
          <w:szCs w:val="24"/>
          <w:lang w:val="en-GB"/>
        </w:rPr>
        <w:t>h</w:t>
      </w:r>
      <w:r w:rsidR="00E034BC" w:rsidRPr="00B60938">
        <w:rPr>
          <w:rFonts w:ascii="Times New Roman" w:hAnsi="Times New Roman"/>
          <w:szCs w:val="24"/>
          <w:lang w:val="en-GB"/>
        </w:rPr>
        <w:t>FPPS</w:t>
      </w:r>
      <w:r w:rsidR="00E034BC">
        <w:t xml:space="preserve"> recombinant enzyme</w:t>
      </w:r>
      <w:r w:rsidR="007241F2">
        <w:t xml:space="preserve"> </w:t>
      </w:r>
      <w:r w:rsidR="007A7D45">
        <w:t>responsible for the anti-proli</w:t>
      </w:r>
      <w:r w:rsidR="00E034BC">
        <w:t>f</w:t>
      </w:r>
      <w:r w:rsidR="007A7D45">
        <w:t>erative action of BPs</w:t>
      </w:r>
      <w:r w:rsidR="00967FE0">
        <w:t>.</w:t>
      </w:r>
      <w:r w:rsidR="007A7D45">
        <w:rPr>
          <w:bCs/>
        </w:rPr>
        <w:t xml:space="preserve"> </w:t>
      </w:r>
      <w:r w:rsidR="000C6C02" w:rsidRPr="00B60938">
        <w:rPr>
          <w:rFonts w:ascii="Times New Roman" w:hAnsi="Times New Roman"/>
          <w:szCs w:val="24"/>
          <w:lang w:val="en-GB"/>
        </w:rPr>
        <w:t xml:space="preserve">Docking calculations suggest a putative binding mode for compound </w:t>
      </w:r>
      <w:r w:rsidR="000C6C02" w:rsidRPr="00B60938">
        <w:rPr>
          <w:rFonts w:ascii="Times New Roman" w:hAnsi="Times New Roman"/>
          <w:b/>
          <w:szCs w:val="24"/>
          <w:lang w:val="en-GB"/>
        </w:rPr>
        <w:t>10</w:t>
      </w:r>
      <w:r w:rsidR="000C6C02" w:rsidRPr="00B60938">
        <w:rPr>
          <w:rFonts w:ascii="Times New Roman" w:hAnsi="Times New Roman"/>
          <w:szCs w:val="24"/>
          <w:lang w:val="en-GB"/>
        </w:rPr>
        <w:t xml:space="preserve"> in the </w:t>
      </w:r>
      <w:r w:rsidR="000C6C02" w:rsidRPr="00B60938">
        <w:rPr>
          <w:rFonts w:ascii="Times New Roman" w:hAnsi="Times New Roman"/>
          <w:i/>
          <w:szCs w:val="24"/>
          <w:lang w:val="en-GB"/>
        </w:rPr>
        <w:t>h</w:t>
      </w:r>
      <w:r w:rsidR="000C6C02" w:rsidRPr="00B60938">
        <w:rPr>
          <w:rFonts w:ascii="Times New Roman" w:hAnsi="Times New Roman"/>
          <w:szCs w:val="24"/>
          <w:lang w:val="en-GB"/>
        </w:rPr>
        <w:t>FPPS binding site, providing indications for its optimization.</w:t>
      </w:r>
      <w:r w:rsidR="00A25105">
        <w:rPr>
          <w:rFonts w:ascii="Times New Roman" w:hAnsi="Times New Roman"/>
          <w:szCs w:val="24"/>
          <w:lang w:val="en-GB"/>
        </w:rPr>
        <w:t xml:space="preserve"> </w:t>
      </w:r>
      <w:r w:rsidR="00303C47" w:rsidRPr="00B60938">
        <w:rPr>
          <w:bCs/>
        </w:rPr>
        <w:t xml:space="preserve">These data support the use of the compound </w:t>
      </w:r>
      <w:r w:rsidR="00303C47" w:rsidRPr="00B60938">
        <w:rPr>
          <w:b/>
          <w:bCs/>
        </w:rPr>
        <w:t>10</w:t>
      </w:r>
      <w:r w:rsidR="00303C47" w:rsidRPr="00B60938">
        <w:rPr>
          <w:bCs/>
        </w:rPr>
        <w:t xml:space="preserve"> as a </w:t>
      </w:r>
      <w:r w:rsidR="00303A2D" w:rsidRPr="00B60938">
        <w:rPr>
          <w:bCs/>
        </w:rPr>
        <w:t>“</w:t>
      </w:r>
      <w:r w:rsidR="00303C47" w:rsidRPr="00B60938">
        <w:rPr>
          <w:bCs/>
        </w:rPr>
        <w:t>lead molecule</w:t>
      </w:r>
      <w:r w:rsidR="00303A2D" w:rsidRPr="00B60938">
        <w:rPr>
          <w:bCs/>
        </w:rPr>
        <w:t>”</w:t>
      </w:r>
      <w:r w:rsidR="00303C47" w:rsidRPr="00B60938">
        <w:rPr>
          <w:bCs/>
        </w:rPr>
        <w:t xml:space="preserve"> for future investigation.</w:t>
      </w:r>
    </w:p>
    <w:p w14:paraId="2533EDA3" w14:textId="77777777" w:rsidR="00EC7111" w:rsidRDefault="00EC7111" w:rsidP="00C75139">
      <w:pPr>
        <w:pStyle w:val="TAMainText"/>
        <w:outlineLvl w:val="0"/>
        <w:rPr>
          <w:b/>
          <w:bCs/>
        </w:rPr>
      </w:pPr>
    </w:p>
    <w:p w14:paraId="78D18363" w14:textId="31C446EE" w:rsidR="00303C47" w:rsidRPr="00B60938" w:rsidRDefault="0099555C" w:rsidP="00C75139">
      <w:pPr>
        <w:pStyle w:val="TAMainText"/>
        <w:outlineLvl w:val="0"/>
        <w:rPr>
          <w:b/>
          <w:bCs/>
        </w:rPr>
      </w:pPr>
      <w:r w:rsidRPr="00B60938">
        <w:rPr>
          <w:b/>
          <w:bCs/>
        </w:rPr>
        <w:t>3</w:t>
      </w:r>
      <w:r w:rsidR="00303C47" w:rsidRPr="00B60938">
        <w:rPr>
          <w:b/>
          <w:bCs/>
        </w:rPr>
        <w:t>. Experimental section</w:t>
      </w:r>
    </w:p>
    <w:p w14:paraId="18AA5C9C" w14:textId="796016BB" w:rsidR="00303C47" w:rsidRPr="00B60938" w:rsidRDefault="0099555C" w:rsidP="00AD47FF">
      <w:pPr>
        <w:pStyle w:val="TAMainText"/>
        <w:outlineLvl w:val="0"/>
        <w:rPr>
          <w:b/>
          <w:bCs/>
        </w:rPr>
      </w:pPr>
      <w:r w:rsidRPr="00B60938">
        <w:rPr>
          <w:b/>
          <w:bCs/>
        </w:rPr>
        <w:t>3</w:t>
      </w:r>
      <w:r w:rsidR="00303C47" w:rsidRPr="00B60938">
        <w:rPr>
          <w:b/>
          <w:bCs/>
        </w:rPr>
        <w:t xml:space="preserve">.1 Chemistry. </w:t>
      </w:r>
    </w:p>
    <w:p w14:paraId="5AAF9906" w14:textId="76550F4C" w:rsidR="00303C47" w:rsidRPr="00B60938" w:rsidRDefault="0099555C" w:rsidP="00FA303D">
      <w:pPr>
        <w:pStyle w:val="TAMainText"/>
        <w:outlineLvl w:val="0"/>
        <w:rPr>
          <w:b/>
          <w:bCs/>
        </w:rPr>
      </w:pPr>
      <w:r w:rsidRPr="00B60938">
        <w:rPr>
          <w:b/>
          <w:bCs/>
        </w:rPr>
        <w:t>3</w:t>
      </w:r>
      <w:r w:rsidR="00303C47" w:rsidRPr="00B60938">
        <w:rPr>
          <w:b/>
          <w:bCs/>
        </w:rPr>
        <w:t>.1.1 General</w:t>
      </w:r>
    </w:p>
    <w:p w14:paraId="1D8E588B" w14:textId="7B70B623" w:rsidR="00303C47" w:rsidRPr="00B60938" w:rsidRDefault="00303C47" w:rsidP="00313F11">
      <w:pPr>
        <w:pStyle w:val="TAMainText"/>
        <w:rPr>
          <w:rFonts w:eastAsia="Calibri"/>
        </w:rPr>
      </w:pPr>
      <w:r w:rsidRPr="00B60938">
        <w:t>Phthaloylglycine (</w:t>
      </w:r>
      <w:r w:rsidRPr="00B60938">
        <w:rPr>
          <w:b/>
        </w:rPr>
        <w:t>B</w:t>
      </w:r>
      <w:r w:rsidRPr="00B60938">
        <w:rPr>
          <w:b/>
          <w:vertAlign w:val="subscript"/>
        </w:rPr>
        <w:t>1</w:t>
      </w:r>
      <w:r w:rsidRPr="00B60938">
        <w:t>) and phthaloylalanine (</w:t>
      </w:r>
      <w:r w:rsidRPr="00B60938">
        <w:rPr>
          <w:b/>
        </w:rPr>
        <w:t>B</w:t>
      </w:r>
      <w:r w:rsidRPr="00B60938">
        <w:rPr>
          <w:b/>
          <w:vertAlign w:val="subscript"/>
        </w:rPr>
        <w:t>5</w:t>
      </w:r>
      <w:r w:rsidRPr="00B60938">
        <w:t>) were commercially available.</w:t>
      </w:r>
      <w:r w:rsidRPr="00B60938">
        <w:rPr>
          <w:rFonts w:eastAsia="Arial-BoldMT"/>
          <w:bCs/>
          <w:i/>
          <w:szCs w:val="24"/>
          <w:lang w:eastAsia="it-IT"/>
        </w:rPr>
        <w:t xml:space="preserve"> N</w:t>
      </w:r>
      <w:r w:rsidRPr="00B60938">
        <w:rPr>
          <w:rFonts w:eastAsia="Arial-BoldMT"/>
          <w:bCs/>
          <w:szCs w:val="24"/>
          <w:lang w:eastAsia="it-IT"/>
        </w:rPr>
        <w:t>-Phthaloyl propionic acid (</w:t>
      </w:r>
      <w:r w:rsidRPr="00B60938">
        <w:rPr>
          <w:rFonts w:eastAsia="Arial-BoldMT"/>
          <w:b/>
          <w:bCs/>
          <w:szCs w:val="24"/>
          <w:lang w:eastAsia="it-IT"/>
        </w:rPr>
        <w:t>B</w:t>
      </w:r>
      <w:r w:rsidRPr="00B60938">
        <w:rPr>
          <w:rFonts w:eastAsia="Arial-BoldMT"/>
          <w:b/>
          <w:bCs/>
          <w:szCs w:val="24"/>
          <w:vertAlign w:val="subscript"/>
          <w:lang w:eastAsia="it-IT"/>
        </w:rPr>
        <w:t>2</w:t>
      </w:r>
      <w:r w:rsidRPr="00B60938">
        <w:rPr>
          <w:rFonts w:eastAsia="Arial-BoldMT"/>
          <w:bCs/>
          <w:szCs w:val="24"/>
          <w:lang w:eastAsia="it-IT"/>
        </w:rPr>
        <w:t>)</w:t>
      </w:r>
      <w:r w:rsidR="00144A62">
        <w:rPr>
          <w:rFonts w:eastAsia="Arial-BoldMT"/>
          <w:bCs/>
          <w:szCs w:val="24"/>
          <w:lang w:eastAsia="it-IT"/>
        </w:rPr>
        <w:t xml:space="preserve"> </w:t>
      </w:r>
      <w:r w:rsidR="00144A62">
        <w:t>[55]</w:t>
      </w:r>
      <w:r w:rsidRPr="00B60938">
        <w:rPr>
          <w:rFonts w:eastAsia="Arial-BoldMT"/>
          <w:bCs/>
          <w:szCs w:val="24"/>
          <w:lang w:eastAsia="it-IT"/>
        </w:rPr>
        <w:t xml:space="preserve">, </w:t>
      </w:r>
      <w:r w:rsidRPr="00E94337">
        <w:rPr>
          <w:rFonts w:eastAsia="Arial-BoldMT"/>
          <w:bCs/>
          <w:i/>
          <w:szCs w:val="24"/>
          <w:lang w:eastAsia="it-IT"/>
        </w:rPr>
        <w:t>N</w:t>
      </w:r>
      <w:r w:rsidRPr="00E94337">
        <w:rPr>
          <w:rFonts w:eastAsia="Arial-BoldMT"/>
          <w:bCs/>
          <w:szCs w:val="24"/>
          <w:lang w:eastAsia="it-IT"/>
        </w:rPr>
        <w:t>-phthaloyl butyric acid (</w:t>
      </w:r>
      <w:r w:rsidRPr="00E94337">
        <w:rPr>
          <w:rFonts w:eastAsia="Arial-BoldMT"/>
          <w:b/>
          <w:bCs/>
          <w:szCs w:val="24"/>
          <w:lang w:eastAsia="it-IT"/>
        </w:rPr>
        <w:t>B</w:t>
      </w:r>
      <w:r w:rsidRPr="00E94337">
        <w:rPr>
          <w:rFonts w:eastAsia="Arial-BoldMT"/>
          <w:b/>
          <w:bCs/>
          <w:szCs w:val="24"/>
          <w:vertAlign w:val="subscript"/>
          <w:lang w:eastAsia="it-IT"/>
        </w:rPr>
        <w:t>3</w:t>
      </w:r>
      <w:r w:rsidRPr="00E94337">
        <w:rPr>
          <w:rFonts w:eastAsia="Arial-BoldMT"/>
          <w:bCs/>
          <w:szCs w:val="24"/>
          <w:lang w:eastAsia="it-IT"/>
        </w:rPr>
        <w:t>)</w:t>
      </w:r>
      <w:r w:rsidR="00144A62">
        <w:rPr>
          <w:rFonts w:eastAsia="Arial-BoldMT"/>
          <w:bCs/>
          <w:szCs w:val="24"/>
          <w:lang w:eastAsia="it-IT"/>
        </w:rPr>
        <w:t xml:space="preserve"> </w:t>
      </w:r>
      <w:r w:rsidR="00144A62">
        <w:t>[55]</w:t>
      </w:r>
      <w:r w:rsidRPr="00E94337">
        <w:rPr>
          <w:rFonts w:eastAsia="Arial-BoldMT"/>
          <w:bCs/>
          <w:szCs w:val="24"/>
          <w:lang w:eastAsia="it-IT"/>
        </w:rPr>
        <w:t>,</w:t>
      </w:r>
      <w:r w:rsidRPr="00B60938">
        <w:rPr>
          <w:rFonts w:eastAsia="Arial-BoldMT"/>
          <w:bCs/>
          <w:szCs w:val="24"/>
          <w:lang w:eastAsia="it-IT"/>
        </w:rPr>
        <w:t xml:space="preserve"> </w:t>
      </w:r>
      <w:r w:rsidRPr="00E94337">
        <w:rPr>
          <w:rFonts w:eastAsia="Arial-BoldMT"/>
          <w:bCs/>
          <w:i/>
          <w:szCs w:val="24"/>
          <w:lang w:eastAsia="it-IT"/>
        </w:rPr>
        <w:t>N</w:t>
      </w:r>
      <w:r w:rsidRPr="00E94337">
        <w:rPr>
          <w:rFonts w:eastAsia="Arial-BoldMT"/>
          <w:bCs/>
          <w:szCs w:val="24"/>
          <w:lang w:eastAsia="it-IT"/>
        </w:rPr>
        <w:t>-phthaloyl valeric acid (</w:t>
      </w:r>
      <w:r w:rsidRPr="00E94337">
        <w:rPr>
          <w:rFonts w:eastAsia="Arial-BoldMT"/>
          <w:b/>
          <w:bCs/>
          <w:szCs w:val="24"/>
          <w:lang w:eastAsia="it-IT"/>
        </w:rPr>
        <w:t>B</w:t>
      </w:r>
      <w:r w:rsidRPr="00E94337">
        <w:rPr>
          <w:rFonts w:eastAsia="Arial-BoldMT"/>
          <w:b/>
          <w:bCs/>
          <w:szCs w:val="24"/>
          <w:vertAlign w:val="subscript"/>
          <w:lang w:eastAsia="it-IT"/>
        </w:rPr>
        <w:t>4</w:t>
      </w:r>
      <w:r w:rsidRPr="00E94337">
        <w:rPr>
          <w:rFonts w:eastAsia="Arial-BoldMT"/>
          <w:bCs/>
          <w:szCs w:val="24"/>
          <w:lang w:eastAsia="it-IT"/>
        </w:rPr>
        <w:t>)</w:t>
      </w:r>
      <w:r w:rsidR="00144A62">
        <w:rPr>
          <w:rFonts w:eastAsia="Arial-BoldMT"/>
          <w:bCs/>
          <w:szCs w:val="24"/>
          <w:lang w:eastAsia="it-IT"/>
        </w:rPr>
        <w:t xml:space="preserve"> </w:t>
      </w:r>
      <w:r w:rsidR="00144A62">
        <w:t>[56]</w:t>
      </w:r>
      <w:r w:rsidRPr="00E94337">
        <w:rPr>
          <w:rFonts w:eastAsia="Arial-BoldMT"/>
          <w:bCs/>
          <w:szCs w:val="24"/>
          <w:lang w:eastAsia="it-IT"/>
        </w:rPr>
        <w:t>,</w:t>
      </w:r>
      <w:r w:rsidR="0083581F" w:rsidRPr="00E94337">
        <w:rPr>
          <w:rFonts w:eastAsia="Arial-BoldMT"/>
          <w:bCs/>
          <w:szCs w:val="24"/>
          <w:vertAlign w:val="superscript"/>
          <w:lang w:eastAsia="it-IT"/>
        </w:rPr>
        <w:t xml:space="preserve"> </w:t>
      </w:r>
      <w:r w:rsidRPr="00B60938">
        <w:rPr>
          <w:rFonts w:eastAsia="Arial-BoldMT"/>
          <w:bCs/>
          <w:szCs w:val="24"/>
          <w:lang w:eastAsia="it-IT"/>
        </w:rPr>
        <w:t xml:space="preserve"> </w:t>
      </w:r>
      <w:r w:rsidRPr="00E94337">
        <w:rPr>
          <w:rFonts w:eastAsia="Arial-BoldMT"/>
          <w:b/>
          <w:bCs/>
          <w:szCs w:val="24"/>
          <w:lang w:eastAsia="it-IT"/>
        </w:rPr>
        <w:t xml:space="preserve">3 </w:t>
      </w:r>
      <w:r w:rsidRPr="00E94337">
        <w:rPr>
          <w:rFonts w:eastAsia="Arial-BoldMT"/>
          <w:bCs/>
          <w:szCs w:val="24"/>
          <w:lang w:eastAsia="it-IT"/>
        </w:rPr>
        <w:t>(palmidronic acid)</w:t>
      </w:r>
      <w:r w:rsidR="00144A62">
        <w:rPr>
          <w:rFonts w:eastAsia="Arial-BoldMT"/>
          <w:bCs/>
          <w:szCs w:val="24"/>
          <w:lang w:eastAsia="it-IT"/>
        </w:rPr>
        <w:t xml:space="preserve"> </w:t>
      </w:r>
      <w:r w:rsidR="00144A62">
        <w:t>[55]</w:t>
      </w:r>
      <w:r w:rsidRPr="00E94337">
        <w:rPr>
          <w:rFonts w:eastAsia="Arial-BoldMT"/>
          <w:bCs/>
          <w:szCs w:val="24"/>
          <w:lang w:eastAsia="it-IT"/>
        </w:rPr>
        <w:t>,</w:t>
      </w:r>
      <w:r w:rsidRPr="00B60938">
        <w:rPr>
          <w:rFonts w:eastAsia="Arial-BoldMT"/>
          <w:bCs/>
          <w:szCs w:val="24"/>
          <w:lang w:eastAsia="it-IT"/>
        </w:rPr>
        <w:t xml:space="preserve"> </w:t>
      </w:r>
      <w:r w:rsidRPr="00E94337">
        <w:rPr>
          <w:rFonts w:eastAsia="Arial-BoldMT"/>
          <w:b/>
          <w:bCs/>
          <w:szCs w:val="24"/>
          <w:lang w:eastAsia="it-IT"/>
        </w:rPr>
        <w:t xml:space="preserve">4 </w:t>
      </w:r>
      <w:r w:rsidRPr="00E94337">
        <w:rPr>
          <w:rFonts w:eastAsia="Arial-BoldMT"/>
          <w:bCs/>
          <w:szCs w:val="24"/>
          <w:lang w:eastAsia="it-IT"/>
        </w:rPr>
        <w:t>(alendronic acid)</w:t>
      </w:r>
      <w:r w:rsidR="00144A62">
        <w:rPr>
          <w:rFonts w:eastAsia="Arial-BoldMT"/>
          <w:bCs/>
          <w:szCs w:val="24"/>
          <w:lang w:eastAsia="it-IT"/>
        </w:rPr>
        <w:t xml:space="preserve"> </w:t>
      </w:r>
      <w:r w:rsidR="00144A62">
        <w:t>[42]</w:t>
      </w:r>
      <w:r w:rsidRPr="00E94337">
        <w:rPr>
          <w:rFonts w:eastAsia="Arial-BoldMT"/>
          <w:bCs/>
          <w:szCs w:val="24"/>
          <w:lang w:eastAsia="it-IT"/>
        </w:rPr>
        <w:t>,</w:t>
      </w:r>
      <w:r w:rsidRPr="00B60938">
        <w:rPr>
          <w:rFonts w:eastAsia="Arial-BoldMT"/>
          <w:bCs/>
          <w:szCs w:val="24"/>
          <w:lang w:eastAsia="it-IT"/>
        </w:rPr>
        <w:t xml:space="preserve"> </w:t>
      </w:r>
      <w:r w:rsidRPr="00E94337">
        <w:rPr>
          <w:rFonts w:eastAsia="Arial-BoldMT"/>
          <w:b/>
          <w:bCs/>
          <w:szCs w:val="24"/>
          <w:lang w:eastAsia="it-IT"/>
        </w:rPr>
        <w:t xml:space="preserve">5 </w:t>
      </w:r>
      <w:r w:rsidRPr="00E94337">
        <w:rPr>
          <w:rFonts w:eastAsia="Arial-BoldMT"/>
          <w:bCs/>
          <w:szCs w:val="24"/>
          <w:lang w:eastAsia="it-IT"/>
        </w:rPr>
        <w:t>(risedronic acid)</w:t>
      </w:r>
      <w:r w:rsidR="00144A62">
        <w:rPr>
          <w:rFonts w:eastAsia="Arial-BoldMT"/>
          <w:bCs/>
          <w:szCs w:val="24"/>
          <w:lang w:eastAsia="it-IT"/>
        </w:rPr>
        <w:t xml:space="preserve"> </w:t>
      </w:r>
      <w:r w:rsidR="00144A62">
        <w:t>[57]</w:t>
      </w:r>
      <w:r w:rsidRPr="00E94337">
        <w:rPr>
          <w:rFonts w:eastAsia="Arial-BoldMT"/>
          <w:bCs/>
          <w:szCs w:val="24"/>
          <w:lang w:eastAsia="it-IT"/>
        </w:rPr>
        <w:t>,</w:t>
      </w:r>
      <w:r w:rsidR="00E001CE" w:rsidRPr="00B60938">
        <w:rPr>
          <w:rFonts w:eastAsia="Arial-BoldMT"/>
          <w:bCs/>
          <w:szCs w:val="24"/>
          <w:vertAlign w:val="superscript"/>
          <w:lang w:eastAsia="it-IT"/>
        </w:rPr>
        <w:t xml:space="preserve"> </w:t>
      </w:r>
      <w:r w:rsidRPr="00E94337">
        <w:rPr>
          <w:rFonts w:eastAsia="Arial-BoldMT"/>
          <w:b/>
          <w:bCs/>
          <w:szCs w:val="24"/>
          <w:lang w:eastAsia="it-IT"/>
        </w:rPr>
        <w:t xml:space="preserve">6 </w:t>
      </w:r>
      <w:r w:rsidRPr="00E94337">
        <w:rPr>
          <w:rFonts w:eastAsia="Arial-BoldMT"/>
          <w:bCs/>
          <w:szCs w:val="24"/>
          <w:lang w:eastAsia="it-IT"/>
        </w:rPr>
        <w:t>(zoledronic acid)</w:t>
      </w:r>
      <w:r w:rsidR="00144A62">
        <w:rPr>
          <w:rFonts w:eastAsia="Arial-BoldMT"/>
          <w:bCs/>
          <w:szCs w:val="24"/>
          <w:lang w:eastAsia="it-IT"/>
        </w:rPr>
        <w:t xml:space="preserve"> </w:t>
      </w:r>
      <w:r w:rsidR="00144A62">
        <w:t>[58]</w:t>
      </w:r>
      <w:r w:rsidR="00E001CE" w:rsidRPr="00E94337">
        <w:rPr>
          <w:rFonts w:eastAsia="Arial-BoldMT"/>
          <w:bCs/>
          <w:szCs w:val="24"/>
          <w:lang w:eastAsia="it-IT"/>
        </w:rPr>
        <w:t xml:space="preserve"> </w:t>
      </w:r>
      <w:r w:rsidRPr="00E94337">
        <w:t>were prepared according to known procedures.</w:t>
      </w:r>
    </w:p>
    <w:p w14:paraId="78E78C68" w14:textId="77777777" w:rsidR="00303C47" w:rsidRPr="00B60938" w:rsidRDefault="00303C47" w:rsidP="00313F11">
      <w:pPr>
        <w:pStyle w:val="TAMainText"/>
        <w:rPr>
          <w:rFonts w:eastAsia="Calibri"/>
        </w:rPr>
      </w:pPr>
      <w:r w:rsidRPr="00B60938">
        <w:t xml:space="preserve">All other chemicals and solvents were purchased from Sigma-Aldrich and used without any further purification. </w:t>
      </w:r>
      <w:r w:rsidRPr="00B60938">
        <w:rPr>
          <w:rFonts w:eastAsia="Calibri"/>
        </w:rPr>
        <w:t xml:space="preserve"> </w:t>
      </w:r>
    </w:p>
    <w:p w14:paraId="0682863B" w14:textId="0B73DAE4" w:rsidR="00303C47" w:rsidRPr="00B60938" w:rsidRDefault="00303C47" w:rsidP="00CB7B52">
      <w:pPr>
        <w:pStyle w:val="TAMainText"/>
        <w:rPr>
          <w:rFonts w:eastAsia="Calibri"/>
        </w:rPr>
      </w:pPr>
      <w:r w:rsidRPr="00B60938">
        <w:rPr>
          <w:rFonts w:eastAsia="Calibri"/>
        </w:rPr>
        <w:t>Proton (</w:t>
      </w:r>
      <w:r w:rsidRPr="00B60938">
        <w:rPr>
          <w:rFonts w:eastAsia="Calibri"/>
          <w:vertAlign w:val="superscript"/>
        </w:rPr>
        <w:t>1</w:t>
      </w:r>
      <w:r w:rsidRPr="00B60938">
        <w:rPr>
          <w:rFonts w:eastAsia="Calibri"/>
        </w:rPr>
        <w:t>H) and phosphorous (</w:t>
      </w:r>
      <w:r w:rsidRPr="00B60938">
        <w:rPr>
          <w:rFonts w:eastAsia="Calibri"/>
          <w:vertAlign w:val="superscript"/>
        </w:rPr>
        <w:t>31</w:t>
      </w:r>
      <w:r w:rsidRPr="00B60938">
        <w:rPr>
          <w:rFonts w:eastAsia="Calibri"/>
        </w:rPr>
        <w:t xml:space="preserve">P) NMR spectra were recorded on a 600 MHz Bruker/Advance Spectrometer or on an Agilent Spectrometer Technologies (500 MHz for </w:t>
      </w:r>
      <w:r w:rsidRPr="00B60938">
        <w:rPr>
          <w:rFonts w:eastAsia="Calibri"/>
          <w:vertAlign w:val="superscript"/>
        </w:rPr>
        <w:t>1</w:t>
      </w:r>
      <w:r w:rsidRPr="00B60938">
        <w:rPr>
          <w:rFonts w:eastAsia="Calibri"/>
        </w:rPr>
        <w:t xml:space="preserve">H; 202 MHz for </w:t>
      </w:r>
      <w:r w:rsidRPr="00B60938">
        <w:rPr>
          <w:rFonts w:eastAsia="Calibri"/>
          <w:vertAlign w:val="superscript"/>
        </w:rPr>
        <w:t>31</w:t>
      </w:r>
      <w:r w:rsidRPr="00B60938">
        <w:rPr>
          <w:rFonts w:eastAsia="Calibri"/>
        </w:rPr>
        <w:t>P) using DMSO-d</w:t>
      </w:r>
      <w:r w:rsidRPr="00B60938">
        <w:rPr>
          <w:rFonts w:eastAsia="Calibri"/>
          <w:vertAlign w:val="subscript"/>
        </w:rPr>
        <w:t>6</w:t>
      </w:r>
      <w:r w:rsidRPr="00B60938">
        <w:rPr>
          <w:rFonts w:eastAsia="Calibri"/>
        </w:rPr>
        <w:t>, D</w:t>
      </w:r>
      <w:r w:rsidRPr="00B60938">
        <w:rPr>
          <w:rFonts w:eastAsia="Calibri"/>
          <w:vertAlign w:val="subscript"/>
        </w:rPr>
        <w:t>2</w:t>
      </w:r>
      <w:r w:rsidRPr="00B60938">
        <w:rPr>
          <w:rFonts w:eastAsia="Calibri"/>
        </w:rPr>
        <w:t>O, or NaOD/D</w:t>
      </w:r>
      <w:r w:rsidRPr="00B60938">
        <w:rPr>
          <w:rFonts w:eastAsia="Calibri"/>
          <w:vertAlign w:val="subscript"/>
        </w:rPr>
        <w:t>2</w:t>
      </w:r>
      <w:r w:rsidRPr="00B60938">
        <w:rPr>
          <w:rFonts w:eastAsia="Calibri"/>
        </w:rPr>
        <w:t>O as solvents. Chemical shifts are given in parts per million (ppm) (</w:t>
      </w:r>
      <w:r w:rsidRPr="00B60938">
        <w:rPr>
          <w:rFonts w:eastAsia="Calibri" w:hint="eastAsia"/>
        </w:rPr>
        <w:t>δ</w:t>
      </w:r>
      <w:r w:rsidRPr="00B60938">
        <w:rPr>
          <w:rFonts w:eastAsia="Calibri"/>
        </w:rPr>
        <w:t xml:space="preserve"> relative to residual solvent peak for </w:t>
      </w:r>
      <w:r w:rsidRPr="00B60938">
        <w:rPr>
          <w:rFonts w:eastAsia="Calibri"/>
          <w:vertAlign w:val="superscript"/>
        </w:rPr>
        <w:t>1</w:t>
      </w:r>
      <w:r w:rsidRPr="00B60938">
        <w:rPr>
          <w:rFonts w:eastAsia="Calibri"/>
        </w:rPr>
        <w:t xml:space="preserve">H and </w:t>
      </w:r>
      <w:r w:rsidRPr="00B60938">
        <w:rPr>
          <w:rFonts w:eastAsia="Calibri"/>
          <w:vertAlign w:val="superscript"/>
        </w:rPr>
        <w:t>13</w:t>
      </w:r>
      <w:r w:rsidRPr="00B60938">
        <w:rPr>
          <w:rFonts w:eastAsia="Calibri"/>
        </w:rPr>
        <w:t>C). Absolute values of coupling constants (</w:t>
      </w:r>
      <w:r w:rsidRPr="00B60938">
        <w:rPr>
          <w:rFonts w:eastAsia="Calibri"/>
          <w:i/>
        </w:rPr>
        <w:t>J</w:t>
      </w:r>
      <w:r w:rsidRPr="00B60938">
        <w:rPr>
          <w:rFonts w:eastAsia="Calibri"/>
        </w:rPr>
        <w:t xml:space="preserve">) are </w:t>
      </w:r>
      <w:r w:rsidRPr="00B60938">
        <w:rPr>
          <w:rFonts w:eastAsia="Calibri"/>
        </w:rPr>
        <w:lastRenderedPageBreak/>
        <w:t>reported.</w:t>
      </w:r>
      <w:r w:rsidR="00682C2F" w:rsidRPr="00B60938">
        <w:rPr>
          <w:rFonts w:eastAsia="Calibri"/>
        </w:rPr>
        <w:t xml:space="preserve"> </w:t>
      </w:r>
      <w:r w:rsidRPr="00B60938">
        <w:rPr>
          <w:rFonts w:eastAsia="Arial-BoldMT"/>
        </w:rPr>
        <w:t>Electrospray Mass Spectrometry (ESI-MS) experiments were performed with a dual electrospray interface and a quadrupole time-of-flight mass spectrometer (Agilent 6530 Series Accurate-Mass Quadrupole Time-of-Flight (Q-TOF) LC/MS, Agilent Technologies Italia S.p.A., Cernusco sul Naviglio, Italy)</w:t>
      </w:r>
      <w:r w:rsidRPr="00B60938">
        <w:rPr>
          <w:rFonts w:eastAsia="Calibri"/>
        </w:rPr>
        <w:t>. The samples were infused via a KD Scientific syringe pump at a rate of 10 mL/min. Ionization was achieved in the negative or positive ion mode. The pressure of the nebulizer gas was 20 psi. The drying gas was heated to 325 °C at a flow of 10 L/min. Full-scan mass spectra were recorded in the mass/charge (</w:t>
      </w:r>
      <w:r w:rsidRPr="00B60938">
        <w:rPr>
          <w:rFonts w:eastAsia="Calibri"/>
          <w:i/>
        </w:rPr>
        <w:t>m/z</w:t>
      </w:r>
      <w:r w:rsidRPr="00B60938">
        <w:rPr>
          <w:rFonts w:eastAsia="Calibri"/>
        </w:rPr>
        <w:t xml:space="preserve">) range of 50–800 Da. </w:t>
      </w:r>
      <w:r w:rsidRPr="00B60938">
        <w:t xml:space="preserve">The purity extent of the target compounds </w:t>
      </w:r>
      <w:r w:rsidRPr="00B60938">
        <w:rPr>
          <w:b/>
        </w:rPr>
        <w:t>10</w:t>
      </w:r>
      <w:r w:rsidRPr="00B60938">
        <w:t>-</w:t>
      </w:r>
      <w:r w:rsidRPr="00B60938">
        <w:rPr>
          <w:b/>
        </w:rPr>
        <w:t>28</w:t>
      </w:r>
      <w:r w:rsidRPr="00B60938">
        <w:t xml:space="preserve"> was found to be &gt; 98% at a specific pH value (pH = 4-7). It was determined by HPLC on a reverse phase C3 column (Agilent Zorbax 300SB-C3) and a mixture of acetonitrile/sodium acetate 20:80 (10mM, pH = 4, 5, 6 and 7) as a mobile phase. The samples to be analyzed were prepared by solubilizing </w:t>
      </w:r>
      <w:r w:rsidRPr="00B60938">
        <w:rPr>
          <w:b/>
        </w:rPr>
        <w:t>10</w:t>
      </w:r>
      <w:r w:rsidRPr="00B60938">
        <w:t>-</w:t>
      </w:r>
      <w:r w:rsidRPr="00B60938">
        <w:rPr>
          <w:b/>
        </w:rPr>
        <w:t>28</w:t>
      </w:r>
      <w:r w:rsidRPr="00B60938">
        <w:t xml:space="preserve"> in the mobile phase (10mM, pH = 5) at 1mM final concentration.</w:t>
      </w:r>
    </w:p>
    <w:p w14:paraId="5864451F" w14:textId="77777777" w:rsidR="00303C47" w:rsidRPr="00B60938" w:rsidRDefault="00303C47">
      <w:pPr>
        <w:pStyle w:val="TAMainText"/>
        <w:rPr>
          <w:rFonts w:eastAsia="Calibri"/>
        </w:rPr>
      </w:pPr>
    </w:p>
    <w:p w14:paraId="19BC9F3D" w14:textId="52BDBD23" w:rsidR="00303C47" w:rsidRPr="00B60938" w:rsidRDefault="0099555C">
      <w:pPr>
        <w:pStyle w:val="TAMainText"/>
        <w:outlineLvl w:val="0"/>
        <w:rPr>
          <w:b/>
        </w:rPr>
      </w:pPr>
      <w:r w:rsidRPr="00B60938">
        <w:rPr>
          <w:b/>
        </w:rPr>
        <w:t>3</w:t>
      </w:r>
      <w:r w:rsidR="00303C47" w:rsidRPr="00B60938">
        <w:rPr>
          <w:b/>
        </w:rPr>
        <w:t>.1.2 Procedures for 7-25 synthesis</w:t>
      </w:r>
    </w:p>
    <w:p w14:paraId="7435ACFE" w14:textId="77777777" w:rsidR="00303C47" w:rsidRPr="00B60938" w:rsidRDefault="00303C47">
      <w:pPr>
        <w:pStyle w:val="TAMainText"/>
        <w:rPr>
          <w:szCs w:val="24"/>
        </w:rPr>
      </w:pPr>
      <w:r w:rsidRPr="00B60938">
        <w:rPr>
          <w:szCs w:val="24"/>
        </w:rPr>
        <w:t xml:space="preserve">The synthesis of the new arylamino bisphosphonic acids </w:t>
      </w:r>
      <w:r w:rsidRPr="00B60938">
        <w:rPr>
          <w:b/>
          <w:szCs w:val="24"/>
        </w:rPr>
        <w:t>10–25</w:t>
      </w:r>
      <w:r w:rsidRPr="00B60938">
        <w:rPr>
          <w:szCs w:val="24"/>
        </w:rPr>
        <w:t xml:space="preserve"> (Scheme 1) has been carried out, by converting </w:t>
      </w:r>
      <w:r w:rsidRPr="00B60938">
        <w:rPr>
          <w:rFonts w:eastAsia="Arial-BoldMT"/>
          <w:bCs/>
          <w:i/>
          <w:szCs w:val="24"/>
          <w:lang w:eastAsia="it-IT"/>
        </w:rPr>
        <w:t>N</w:t>
      </w:r>
      <w:r w:rsidRPr="00B60938">
        <w:rPr>
          <w:rFonts w:eastAsia="Arial-BoldMT"/>
          <w:bCs/>
          <w:szCs w:val="24"/>
          <w:lang w:eastAsia="it-IT"/>
        </w:rPr>
        <w:t xml:space="preserve">-phthaloyl amino acid </w:t>
      </w:r>
      <w:r w:rsidRPr="00B60938">
        <w:rPr>
          <w:rFonts w:eastAsia="Arial-BoldMT"/>
          <w:b/>
          <w:bCs/>
          <w:szCs w:val="24"/>
          <w:lang w:eastAsia="it-IT"/>
        </w:rPr>
        <w:t>B1</w:t>
      </w:r>
      <w:r w:rsidRPr="00B60938">
        <w:rPr>
          <w:rFonts w:eastAsia="Arial-BoldMT"/>
          <w:bCs/>
          <w:szCs w:val="24"/>
          <w:lang w:eastAsia="it-IT"/>
        </w:rPr>
        <w:t>-</w:t>
      </w:r>
      <w:r w:rsidRPr="00B60938">
        <w:rPr>
          <w:rFonts w:eastAsia="Arial-BoldMT"/>
          <w:b/>
          <w:bCs/>
          <w:szCs w:val="24"/>
          <w:lang w:eastAsia="it-IT"/>
        </w:rPr>
        <w:t>B5</w:t>
      </w:r>
      <w:r w:rsidRPr="00B60938">
        <w:rPr>
          <w:rFonts w:eastAsia="Arial-BoldMT"/>
          <w:bCs/>
          <w:szCs w:val="24"/>
          <w:lang w:eastAsia="it-IT"/>
        </w:rPr>
        <w:t xml:space="preserve"> into </w:t>
      </w:r>
      <w:r w:rsidRPr="00B60938">
        <w:rPr>
          <w:rFonts w:eastAsia="Arial-BoldMT"/>
          <w:b/>
          <w:bCs/>
          <w:szCs w:val="24"/>
          <w:lang w:eastAsia="it-IT"/>
        </w:rPr>
        <w:t>C1</w:t>
      </w:r>
      <w:r w:rsidRPr="00B60938">
        <w:rPr>
          <w:rFonts w:eastAsia="Arial-BoldMT"/>
          <w:bCs/>
          <w:szCs w:val="24"/>
          <w:lang w:eastAsia="it-IT"/>
        </w:rPr>
        <w:t>-</w:t>
      </w:r>
      <w:r w:rsidRPr="00B60938">
        <w:rPr>
          <w:rFonts w:eastAsia="Arial-BoldMT"/>
          <w:b/>
          <w:bCs/>
          <w:szCs w:val="24"/>
          <w:lang w:eastAsia="it-IT"/>
        </w:rPr>
        <w:t>C5</w:t>
      </w:r>
      <w:r w:rsidRPr="00B60938">
        <w:rPr>
          <w:rFonts w:eastAsia="Arial-BoldMT"/>
          <w:bCs/>
          <w:szCs w:val="24"/>
          <w:lang w:eastAsia="it-IT"/>
        </w:rPr>
        <w:t>, by a modified Arbuzov reaction. The hydrolysis of phthalimide moiety, with 12 N HCl, yielded</w:t>
      </w:r>
      <w:r w:rsidRPr="00B60938">
        <w:rPr>
          <w:szCs w:val="24"/>
        </w:rPr>
        <w:t xml:space="preserve"> the </w:t>
      </w:r>
      <w:r w:rsidRPr="00B60938">
        <w:rPr>
          <w:rFonts w:eastAsia="Arial-BoldMT"/>
          <w:bCs/>
          <w:i/>
          <w:szCs w:val="24"/>
          <w:lang w:eastAsia="it-IT"/>
        </w:rPr>
        <w:t>N</w:t>
      </w:r>
      <w:r w:rsidRPr="00B60938">
        <w:rPr>
          <w:rFonts w:eastAsia="Arial-BoldMT"/>
          <w:bCs/>
          <w:szCs w:val="24"/>
          <w:lang w:eastAsia="it-IT"/>
        </w:rPr>
        <w:t>-BPs [</w:t>
      </w:r>
      <w:r w:rsidRPr="00B60938">
        <w:rPr>
          <w:rFonts w:eastAsia="Arial-BoldMT"/>
          <w:b/>
          <w:bCs/>
          <w:szCs w:val="24"/>
          <w:lang w:eastAsia="it-IT"/>
        </w:rPr>
        <w:t>3 (</w:t>
      </w:r>
      <w:r w:rsidRPr="00B60938">
        <w:rPr>
          <w:rFonts w:eastAsia="Arial-BoldMT"/>
          <w:bCs/>
          <w:szCs w:val="24"/>
          <w:lang w:eastAsia="it-IT"/>
        </w:rPr>
        <w:t xml:space="preserve">pamidronic acid), </w:t>
      </w:r>
      <w:r w:rsidRPr="00B60938">
        <w:rPr>
          <w:rFonts w:eastAsia="Arial-BoldMT"/>
          <w:b/>
          <w:bCs/>
          <w:szCs w:val="24"/>
          <w:lang w:eastAsia="it-IT"/>
        </w:rPr>
        <w:t>4 (</w:t>
      </w:r>
      <w:r w:rsidRPr="00B60938">
        <w:rPr>
          <w:rFonts w:eastAsia="Arial-BoldMT"/>
          <w:bCs/>
          <w:szCs w:val="24"/>
          <w:lang w:eastAsia="it-IT"/>
        </w:rPr>
        <w:t xml:space="preserve">aledronate), </w:t>
      </w:r>
      <w:r w:rsidRPr="00B60938">
        <w:rPr>
          <w:rFonts w:eastAsia="Arial-BoldMT"/>
          <w:b/>
          <w:bCs/>
          <w:szCs w:val="24"/>
          <w:lang w:eastAsia="it-IT"/>
        </w:rPr>
        <w:t>7</w:t>
      </w:r>
      <w:r w:rsidRPr="00B60938">
        <w:rPr>
          <w:rFonts w:eastAsia="Arial-BoldMT"/>
          <w:bCs/>
          <w:szCs w:val="24"/>
          <w:lang w:eastAsia="it-IT"/>
        </w:rPr>
        <w:t>-</w:t>
      </w:r>
      <w:r w:rsidRPr="00B60938">
        <w:rPr>
          <w:rFonts w:eastAsia="Arial-BoldMT"/>
          <w:b/>
          <w:bCs/>
          <w:szCs w:val="24"/>
          <w:lang w:eastAsia="it-IT"/>
        </w:rPr>
        <w:t xml:space="preserve">9] </w:t>
      </w:r>
      <w:r w:rsidRPr="00B60938">
        <w:rPr>
          <w:rFonts w:eastAsia="Arial-BoldMT"/>
          <w:bCs/>
          <w:szCs w:val="24"/>
          <w:lang w:eastAsia="it-IT"/>
        </w:rPr>
        <w:t xml:space="preserve">with the necessary </w:t>
      </w:r>
      <w:r w:rsidRPr="00B60938">
        <w:rPr>
          <w:szCs w:val="24"/>
        </w:rPr>
        <w:t>free amino group</w:t>
      </w:r>
      <w:r w:rsidRPr="00B60938">
        <w:rPr>
          <w:rFonts w:eastAsia="Arial-BoldMT"/>
          <w:bCs/>
          <w:szCs w:val="24"/>
          <w:lang w:eastAsia="it-IT"/>
        </w:rPr>
        <w:t xml:space="preserve"> to be linked to heteroaromatic rings through the </w:t>
      </w:r>
      <w:r w:rsidRPr="00B60938">
        <w:rPr>
          <w:szCs w:val="24"/>
        </w:rPr>
        <w:t xml:space="preserve">heteroaromatic chlorides (2-chloropyrimidine, 2-chloroquinazoline, 4-chloroquinazoline and 4-chloro-2-phenylquinazoline) to give the target </w:t>
      </w:r>
      <w:r w:rsidRPr="00B60938">
        <w:rPr>
          <w:b/>
          <w:szCs w:val="24"/>
        </w:rPr>
        <w:t>10–25</w:t>
      </w:r>
      <w:r w:rsidRPr="00B60938">
        <w:rPr>
          <w:szCs w:val="24"/>
        </w:rPr>
        <w:t xml:space="preserve">. A similar procedure was followed to prepare </w:t>
      </w:r>
      <w:r w:rsidRPr="00B60938">
        <w:rPr>
          <w:b/>
          <w:szCs w:val="24"/>
        </w:rPr>
        <w:t>4</w:t>
      </w:r>
      <w:r w:rsidRPr="00B60938">
        <w:rPr>
          <w:szCs w:val="24"/>
        </w:rPr>
        <w:t xml:space="preserve"> (alendronic acid) and </w:t>
      </w:r>
      <w:r w:rsidRPr="00B60938">
        <w:rPr>
          <w:b/>
          <w:szCs w:val="24"/>
        </w:rPr>
        <w:t>6</w:t>
      </w:r>
      <w:r w:rsidRPr="00B60938">
        <w:rPr>
          <w:szCs w:val="24"/>
        </w:rPr>
        <w:t xml:space="preserve"> (zoledronic acid).</w:t>
      </w:r>
    </w:p>
    <w:p w14:paraId="4A3A7134" w14:textId="77777777" w:rsidR="00303C47" w:rsidRPr="00B60938" w:rsidRDefault="00303C47">
      <w:pPr>
        <w:pStyle w:val="TAMainText"/>
        <w:rPr>
          <w:rFonts w:eastAsia="Arial-BoldMT"/>
          <w:szCs w:val="24"/>
        </w:rPr>
      </w:pPr>
    </w:p>
    <w:p w14:paraId="3F15A524" w14:textId="2D87E311" w:rsidR="00303C47" w:rsidRPr="00B60938" w:rsidRDefault="00303C47">
      <w:pPr>
        <w:pStyle w:val="TAMainText"/>
        <w:rPr>
          <w:rFonts w:eastAsia="Arial-BoldMT"/>
          <w:b/>
        </w:rPr>
      </w:pPr>
      <w:r w:rsidRPr="00B60938">
        <w:rPr>
          <w:rFonts w:eastAsia="Arial-BoldMT"/>
          <w:b/>
        </w:rPr>
        <w:t>(2-Amino-1-hydroxyethane-1,1-diyl)bis(phosphonic acid) (7)</w:t>
      </w:r>
      <w:r w:rsidR="007868B7">
        <w:rPr>
          <w:rFonts w:eastAsia="Arial-BoldMT"/>
          <w:b/>
        </w:rPr>
        <w:t xml:space="preserve"> </w:t>
      </w:r>
      <w:r w:rsidR="007868B7">
        <w:t>[42]</w:t>
      </w:r>
      <w:r w:rsidRPr="00B60938">
        <w:rPr>
          <w:rFonts w:eastAsia="Arial-BoldMT"/>
          <w:b/>
        </w:rPr>
        <w:t xml:space="preserve">. </w:t>
      </w:r>
      <w:r w:rsidRPr="00E94337">
        <w:t xml:space="preserve">Commercially available </w:t>
      </w:r>
      <w:r w:rsidRPr="00E94337">
        <w:rPr>
          <w:i/>
        </w:rPr>
        <w:t>N</w:t>
      </w:r>
      <w:r w:rsidRPr="00E94337">
        <w:t>-phthaloylglycine (</w:t>
      </w:r>
      <w:r w:rsidRPr="00B60938">
        <w:rPr>
          <w:b/>
        </w:rPr>
        <w:t>B</w:t>
      </w:r>
      <w:r w:rsidRPr="00B60938">
        <w:rPr>
          <w:b/>
          <w:vertAlign w:val="subscript"/>
        </w:rPr>
        <w:t>1</w:t>
      </w:r>
      <w:r w:rsidRPr="00B60938">
        <w:t>, 200 mg, 0.975 mmol) was dissolved in SOCl</w:t>
      </w:r>
      <w:r w:rsidRPr="00B60938">
        <w:rPr>
          <w:vertAlign w:val="subscript"/>
        </w:rPr>
        <w:t>2</w:t>
      </w:r>
      <w:r w:rsidRPr="00B60938">
        <w:t xml:space="preserve"> (2.84 mL) and refluxed for 2 h. After evaporation of the solvent under reduced pressure, the obtained white solid was solubilized in THF (1.7 mL), and treated with tris(trimethylsilyl)phosphite (978 </w:t>
      </w:r>
      <w:r w:rsidRPr="00B60938">
        <w:rPr>
          <w:rFonts w:ascii="Symbol" w:hAnsi="Symbol"/>
        </w:rPr>
        <w:t></w:t>
      </w:r>
      <w:r w:rsidRPr="00B60938">
        <w:t xml:space="preserve">L, 2.92 mmol) at 0 °C for 15 min, </w:t>
      </w:r>
      <w:r w:rsidRPr="00B60938">
        <w:lastRenderedPageBreak/>
        <w:t>and then stirred at room temperature for 15 min. Methanol (4 mL) was added and the solution was stirred for 1 h at room temperature. The solvent was evaporated under vacuum and the white solid was washed three times with a toluene/hexane mixture (1:1) (4 mL), washed with Et</w:t>
      </w:r>
      <w:r w:rsidRPr="00B60938">
        <w:rPr>
          <w:vertAlign w:val="subscript"/>
        </w:rPr>
        <w:t>2</w:t>
      </w:r>
      <w:r w:rsidRPr="00B60938">
        <w:t xml:space="preserve">O and dried under vacuum, obtaining the intermediate </w:t>
      </w:r>
      <w:r w:rsidRPr="00B60938">
        <w:rPr>
          <w:b/>
        </w:rPr>
        <w:t>C</w:t>
      </w:r>
      <w:r w:rsidRPr="00B60938">
        <w:rPr>
          <w:b/>
          <w:vertAlign w:val="subscript"/>
        </w:rPr>
        <w:t>1</w:t>
      </w:r>
      <w:r w:rsidRPr="00B60938">
        <w:t xml:space="preserve">. </w:t>
      </w:r>
      <w:r w:rsidRPr="00B60938">
        <w:rPr>
          <w:lang w:val="pt-BR"/>
        </w:rPr>
        <w:t xml:space="preserve">Yield: 337 mg (98.5%). </w:t>
      </w:r>
      <w:r w:rsidRPr="00B60938">
        <w:rPr>
          <w:vertAlign w:val="superscript"/>
          <w:lang w:val="pt-BR"/>
        </w:rPr>
        <w:t>1</w:t>
      </w:r>
      <w:r w:rsidRPr="00B60938">
        <w:rPr>
          <w:lang w:val="pt-BR"/>
        </w:rPr>
        <w:t>H NMR (500 MHz, DMSO-d</w:t>
      </w:r>
      <w:r w:rsidRPr="00B60938">
        <w:rPr>
          <w:vertAlign w:val="subscript"/>
          <w:lang w:val="pt-BR"/>
        </w:rPr>
        <w:t>6</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4.17-4.21 (m, 2H), 7.82-7.89 (m, 4 H).</w:t>
      </w:r>
      <w:r w:rsidRPr="00B60938">
        <w:rPr>
          <w:vertAlign w:val="superscript"/>
          <w:lang w:val="pt-BR" w:eastAsia="it-IT"/>
        </w:rPr>
        <w:t xml:space="preserve"> 31</w:t>
      </w:r>
      <w:r w:rsidRPr="00B60938">
        <w:rPr>
          <w:rFonts w:ascii="TimesNewRomanPSMT" w:hAnsi="TimesNewRomanPSMT" w:cs="TimesNewRomanPSMT"/>
          <w:lang w:val="pt-BR" w:eastAsia="it-IT"/>
        </w:rPr>
        <w:t>P NMR (202 MHz, DMSO-d</w:t>
      </w:r>
      <w:r w:rsidRPr="00B60938">
        <w:rPr>
          <w:rFonts w:ascii="TimesNewRomanPSMT" w:hAnsi="TimesNewRomanPSMT" w:cs="TimesNewRomanPSMT"/>
          <w:vertAlign w:val="subscript"/>
          <w:lang w:val="pt-BR" w:eastAsia="it-IT"/>
        </w:rPr>
        <w:t>6</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rFonts w:ascii="TimesNewRomanPSMT" w:hAnsi="TimesNewRomanPSMT" w:cs="TimesNewRomanPSMT"/>
          <w:lang w:val="pt-BR" w:eastAsia="it-IT"/>
        </w:rPr>
        <w:t>15.6.</w:t>
      </w:r>
    </w:p>
    <w:p w14:paraId="3C6D3A55" w14:textId="77777777" w:rsidR="00303C47" w:rsidRPr="00B60938" w:rsidRDefault="00303C47">
      <w:pPr>
        <w:pStyle w:val="TAMainText"/>
      </w:pPr>
      <w:r w:rsidRPr="00B60938">
        <w:t xml:space="preserve">A solution of </w:t>
      </w:r>
      <w:r w:rsidRPr="00B60938">
        <w:rPr>
          <w:b/>
        </w:rPr>
        <w:t>C</w:t>
      </w:r>
      <w:r w:rsidRPr="00B60938">
        <w:rPr>
          <w:b/>
          <w:vertAlign w:val="subscript"/>
        </w:rPr>
        <w:t>1</w:t>
      </w:r>
      <w:r w:rsidRPr="00B60938">
        <w:t xml:space="preserve"> (337 mg, 0.96 mmol) in 8 mL of 12 N HCl was refluxed for 5.5 h. The solvent was removed under reduced pressure obtaining a white solid that was washed with 50 mL of ethanol at 70 °C. The solid was then isolated by filtration of the solution, washed with warm ethanol and dried under vacuum. The product </w:t>
      </w:r>
      <w:r w:rsidRPr="00B60938">
        <w:rPr>
          <w:b/>
        </w:rPr>
        <w:t>7</w:t>
      </w:r>
      <w:r w:rsidRPr="00B60938">
        <w:t xml:space="preserve"> was isolated in 86% yield (183 mg). </w:t>
      </w:r>
      <w:r w:rsidRPr="00B60938">
        <w:rPr>
          <w:vertAlign w:val="superscript"/>
        </w:rPr>
        <w:t>1</w:t>
      </w:r>
      <w:r w:rsidRPr="00B60938">
        <w:t>H NMR (500 MHz, D</w:t>
      </w:r>
      <w:r w:rsidRPr="00B60938">
        <w:rPr>
          <w:vertAlign w:val="subscript"/>
        </w:rPr>
        <w:t>2</w:t>
      </w:r>
      <w:r w:rsidRPr="00B60938">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3.38 (t, 2H, </w:t>
      </w:r>
      <w:r w:rsidRPr="00B60938">
        <w:rPr>
          <w:i/>
        </w:rPr>
        <w:t>J</w:t>
      </w:r>
      <w:r w:rsidRPr="00B60938">
        <w:rPr>
          <w:vertAlign w:val="subscript"/>
        </w:rPr>
        <w:t xml:space="preserve"> </w:t>
      </w:r>
      <w:r w:rsidRPr="00B60938">
        <w:t xml:space="preserve">= 11.8 Hz). </w:t>
      </w:r>
      <w:bookmarkStart w:id="3" w:name="_Hlk486343637"/>
      <w:r w:rsidRPr="00B60938">
        <w:rPr>
          <w:vertAlign w:val="superscript"/>
          <w:lang w:eastAsia="it-IT"/>
        </w:rPr>
        <w:t>31</w:t>
      </w:r>
      <w:r w:rsidRPr="00B60938">
        <w:rPr>
          <w:rFonts w:ascii="TimesNewRomanPSMT" w:hAnsi="TimesNewRomanPSMT" w:cs="TimesNewRomanPSMT"/>
          <w:lang w:eastAsia="it-IT"/>
        </w:rPr>
        <w:t>P NMR (202 MHz, D</w:t>
      </w:r>
      <w:r w:rsidRPr="00B60938">
        <w:rPr>
          <w:rFonts w:ascii="TimesNewRomanPSMT" w:hAnsi="TimesNewRomanPSMT" w:cs="TimesNewRomanPSMT"/>
          <w:vertAlign w:val="subscript"/>
          <w:lang w:eastAsia="it-IT"/>
        </w:rPr>
        <w:t>2</w:t>
      </w:r>
      <w:r w:rsidRPr="00B60938">
        <w:rPr>
          <w:rFonts w:ascii="TimesNewRomanPSMT" w:hAnsi="TimesNewRomanPSMT" w:cs="TimesNewRomanPSMT"/>
          <w:lang w:eastAsia="it-IT"/>
        </w:rPr>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rFonts w:ascii="TimesNewRomanPSMT" w:hAnsi="TimesNewRomanPSMT" w:cs="TimesNewRomanPSMT"/>
          <w:lang w:eastAsia="it-IT"/>
        </w:rPr>
        <w:t>14.9.</w:t>
      </w:r>
    </w:p>
    <w:p w14:paraId="4563AA11" w14:textId="3CAC3595" w:rsidR="00303C47" w:rsidRPr="00B60938" w:rsidRDefault="00303C47">
      <w:pPr>
        <w:pStyle w:val="TAMainText"/>
        <w:rPr>
          <w:rFonts w:eastAsia="Arial-BoldMT"/>
          <w:b/>
          <w:lang w:val="pt-BR" w:eastAsia="it-IT"/>
        </w:rPr>
      </w:pPr>
      <w:bookmarkStart w:id="4" w:name="_Hlk481157951"/>
      <w:bookmarkEnd w:id="3"/>
      <w:r w:rsidRPr="00B60938">
        <w:rPr>
          <w:rFonts w:eastAsia="Arial-BoldMT"/>
          <w:b/>
          <w:lang w:eastAsia="it-IT"/>
        </w:rPr>
        <w:t xml:space="preserve">(5-Amino-1-hydroxypentane-1,1-diyl)bis(phosphonic acid) (8). </w:t>
      </w:r>
      <w:r w:rsidRPr="00B60938">
        <w:rPr>
          <w:i/>
          <w:iCs/>
          <w:lang w:eastAsia="it-IT"/>
        </w:rPr>
        <w:t>N</w:t>
      </w:r>
      <w:r w:rsidRPr="00B60938">
        <w:rPr>
          <w:rFonts w:eastAsia="Arial-BoldMT"/>
          <w:lang w:eastAsia="it-IT"/>
        </w:rPr>
        <w:t xml:space="preserve">-Phthaloyl valeric </w:t>
      </w:r>
      <w:r w:rsidR="00E001CE" w:rsidRPr="00B60938">
        <w:rPr>
          <w:rFonts w:eastAsia="Arial-BoldMT"/>
          <w:lang w:eastAsia="it-IT"/>
        </w:rPr>
        <w:t>acid</w:t>
      </w:r>
      <w:r w:rsidR="007868B7">
        <w:rPr>
          <w:rFonts w:eastAsia="Arial-BoldMT"/>
          <w:lang w:eastAsia="it-IT"/>
        </w:rPr>
        <w:t xml:space="preserve"> </w:t>
      </w:r>
      <w:r w:rsidR="007868B7">
        <w:t>[56]</w:t>
      </w:r>
      <w:r w:rsidR="00E001CE" w:rsidRPr="00B60938">
        <w:rPr>
          <w:rFonts w:eastAsia="Arial-BoldMT"/>
          <w:lang w:eastAsia="it-IT"/>
        </w:rPr>
        <w:t xml:space="preserve"> </w:t>
      </w:r>
      <w:r w:rsidRPr="00E94337">
        <w:rPr>
          <w:rFonts w:eastAsia="Arial-BoldMT"/>
          <w:lang w:eastAsia="it-IT"/>
        </w:rPr>
        <w:t>(</w:t>
      </w:r>
      <w:r w:rsidRPr="00E94337">
        <w:rPr>
          <w:b/>
        </w:rPr>
        <w:t>B</w:t>
      </w:r>
      <w:r w:rsidRPr="00E94337">
        <w:rPr>
          <w:b/>
          <w:vertAlign w:val="subscript"/>
        </w:rPr>
        <w:t>4</w:t>
      </w:r>
      <w:r w:rsidRPr="00E94337">
        <w:t>, 500 mg, 2.02 mmol) was solubilized in SOCl</w:t>
      </w:r>
      <w:r w:rsidRPr="00B60938">
        <w:rPr>
          <w:vertAlign w:val="subscript"/>
        </w:rPr>
        <w:t xml:space="preserve">2 </w:t>
      </w:r>
      <w:r w:rsidRPr="00B60938">
        <w:t>(5.9 mL) and refluxed for 3 h. The solvent was evaporated under reduced pressure, affording a white solid, that in turn, was dissolved in dry THF</w:t>
      </w:r>
      <w:r w:rsidRPr="00B60938">
        <w:rPr>
          <w:lang w:eastAsia="it-IT"/>
        </w:rPr>
        <w:t xml:space="preserve"> (</w:t>
      </w:r>
      <w:r w:rsidRPr="00B60938">
        <w:t xml:space="preserve">4 mL) </w:t>
      </w:r>
      <w:r w:rsidRPr="00B60938">
        <w:rPr>
          <w:lang w:eastAsia="it-IT"/>
        </w:rPr>
        <w:t>at 0 °C before the tris(trimethylsilyl)phosphite (2.02 mL, 6.06 mmol) addition for 40 min. Then, the mixture was stirred overnight at room temperature.</w:t>
      </w:r>
      <w:r w:rsidRPr="00B60938">
        <w:t xml:space="preserve"> Methanol (3 mL) was added and the resulting solution was stirred for 5 h at room temperature. The solvent was evaporated under vacuum and the white solid was washed three times with a toluene/hexane mixture (1:1) (10 mL), then with diethyl ether and dried under vacuum, obtaining the intermediate </w:t>
      </w:r>
      <w:r w:rsidRPr="00B60938">
        <w:rPr>
          <w:b/>
        </w:rPr>
        <w:t>C</w:t>
      </w:r>
      <w:r w:rsidRPr="00B60938">
        <w:rPr>
          <w:b/>
          <w:vertAlign w:val="subscript"/>
        </w:rPr>
        <w:t>4</w:t>
      </w:r>
      <w:r w:rsidRPr="00B60938">
        <w:t xml:space="preserve">. </w:t>
      </w:r>
      <w:r w:rsidRPr="00B60938">
        <w:rPr>
          <w:lang w:val="pt-BR"/>
        </w:rPr>
        <w:t xml:space="preserve">Yield: 790 mg (99%). </w:t>
      </w:r>
      <w:r w:rsidRPr="00B60938">
        <w:rPr>
          <w:vertAlign w:val="superscript"/>
          <w:lang w:val="pt-BR"/>
        </w:rPr>
        <w:t>1</w:t>
      </w:r>
      <w:r w:rsidRPr="00B60938">
        <w:rPr>
          <w:lang w:val="pt-BR"/>
        </w:rPr>
        <w:t>H NMR (500 MHz, DMSO-d</w:t>
      </w:r>
      <w:r w:rsidRPr="00B60938">
        <w:rPr>
          <w:vertAlign w:val="subscript"/>
          <w:lang w:val="pt-BR"/>
        </w:rPr>
        <w:t>6</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1.42-1.62 (m, 4H), 1.76-1.87 (m, 2H), 3.49-3.54 (m, 2H), 6.01-6.95 (brs, 5H, O</w:t>
      </w:r>
      <w:r w:rsidRPr="00B60938">
        <w:rPr>
          <w:i/>
          <w:lang w:val="pt-BR"/>
        </w:rPr>
        <w:t>H</w:t>
      </w:r>
      <w:r w:rsidRPr="00B60938">
        <w:rPr>
          <w:lang w:val="pt-BR"/>
        </w:rPr>
        <w:t xml:space="preserve"> protons), 7.79-7.87 (m, 4H). </w:t>
      </w:r>
      <w:r w:rsidRPr="00B60938">
        <w:rPr>
          <w:vertAlign w:val="superscript"/>
          <w:lang w:val="pt-BR" w:eastAsia="it-IT"/>
        </w:rPr>
        <w:t>31</w:t>
      </w:r>
      <w:r w:rsidRPr="00B60938">
        <w:rPr>
          <w:lang w:val="pt-BR" w:eastAsia="it-IT"/>
        </w:rPr>
        <w:t>P NMR (202 MHz, DMSO-d</w:t>
      </w:r>
      <w:r w:rsidRPr="00B60938">
        <w:rPr>
          <w:vertAlign w:val="subscript"/>
          <w:lang w:val="pt-BR" w:eastAsia="it-IT"/>
        </w:rPr>
        <w:t>6</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20.2 (s, 2P).</w:t>
      </w:r>
    </w:p>
    <w:p w14:paraId="1B802A31" w14:textId="77777777" w:rsidR="00303C47" w:rsidRPr="00B60938" w:rsidRDefault="00303C47">
      <w:pPr>
        <w:pStyle w:val="TAMainText"/>
        <w:rPr>
          <w:rFonts w:eastAsia="Arial-BoldMT"/>
          <w:b/>
          <w:lang w:val="pt-BR" w:eastAsia="it-IT"/>
        </w:rPr>
      </w:pPr>
      <w:r w:rsidRPr="00B60938">
        <w:t>A solution of</w:t>
      </w:r>
      <w:r w:rsidRPr="00B60938">
        <w:rPr>
          <w:iCs/>
          <w:lang w:eastAsia="it-IT"/>
        </w:rPr>
        <w:t xml:space="preserve"> </w:t>
      </w:r>
      <w:r w:rsidRPr="00B60938">
        <w:rPr>
          <w:b/>
        </w:rPr>
        <w:t>C</w:t>
      </w:r>
      <w:r w:rsidRPr="00B60938">
        <w:rPr>
          <w:b/>
          <w:vertAlign w:val="subscript"/>
        </w:rPr>
        <w:t>4</w:t>
      </w:r>
      <w:r w:rsidRPr="00B60938" w:rsidDel="00486279">
        <w:t xml:space="preserve"> </w:t>
      </w:r>
      <w:r w:rsidRPr="00B60938">
        <w:t xml:space="preserve">(790 mg, 2.01 mmol) in 12 N HCl (17 mL) was refluxed for 22 h. The solvent was removed under reduced pressure obtaining a white solid that was washed with ethanol (70 mL) at 70 °C. The solid was then isolated by filtration of the solution, washed with warm ethanol and dried under vacuum. Yield: 441 mg (83 %).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1.09-1.38 (m, 2H), 1.48-1.55 (m, 2H), 1.75-1.85 (m, 2H), 2.55 (t, 2H).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21.44 (s, 2P).</w:t>
      </w:r>
    </w:p>
    <w:p w14:paraId="1EDF4F60" w14:textId="77777777" w:rsidR="00303C47" w:rsidRPr="00B60938" w:rsidRDefault="00303C47">
      <w:pPr>
        <w:pStyle w:val="TAMainText"/>
        <w:rPr>
          <w:rFonts w:eastAsia="Arial-BoldMT"/>
          <w:lang w:eastAsia="it-IT"/>
        </w:rPr>
      </w:pPr>
      <w:r w:rsidRPr="00B60938">
        <w:rPr>
          <w:rFonts w:eastAsia="Arial-BoldMT"/>
          <w:b/>
          <w:bCs/>
          <w:lang w:val="pt-BR"/>
        </w:rPr>
        <w:lastRenderedPageBreak/>
        <w:t>(</w:t>
      </w:r>
      <w:r w:rsidRPr="00B60938">
        <w:rPr>
          <w:rFonts w:eastAsia="Arial-BoldMT"/>
          <w:b/>
          <w:bCs/>
          <w:i/>
          <w:lang w:val="pt-BR"/>
        </w:rPr>
        <w:t>RS</w:t>
      </w:r>
      <w:r w:rsidRPr="00B60938">
        <w:rPr>
          <w:rFonts w:eastAsia="Arial-BoldMT"/>
          <w:b/>
          <w:bCs/>
          <w:lang w:val="pt-BR"/>
        </w:rPr>
        <w:t>)-(2-Amino-1-hydroxypropane-1,1-diyl)bis(phosphonic acid)</w:t>
      </w:r>
      <w:bookmarkEnd w:id="4"/>
      <w:r w:rsidRPr="00B60938">
        <w:rPr>
          <w:rFonts w:eastAsia="Arial-BoldMT"/>
          <w:b/>
          <w:lang w:val="pt-BR"/>
        </w:rPr>
        <w:t xml:space="preserve"> (9).</w:t>
      </w:r>
      <w:r w:rsidRPr="00B60938">
        <w:rPr>
          <w:rFonts w:eastAsia="Arial-BoldMT"/>
          <w:lang w:val="pt-BR" w:eastAsia="it-IT"/>
        </w:rPr>
        <w:t xml:space="preserve"> </w:t>
      </w:r>
      <w:r w:rsidRPr="00B60938">
        <w:t>A commercially available (±)-phthaloylalanine (</w:t>
      </w:r>
      <w:r w:rsidRPr="00B60938">
        <w:rPr>
          <w:b/>
        </w:rPr>
        <w:t>B</w:t>
      </w:r>
      <w:r w:rsidRPr="00B60938">
        <w:rPr>
          <w:b/>
          <w:vertAlign w:val="subscript"/>
        </w:rPr>
        <w:t>5</w:t>
      </w:r>
      <w:r w:rsidRPr="00B60938">
        <w:t>, 500 mg, 2.28mmol) dissolved in SOCl</w:t>
      </w:r>
      <w:r w:rsidRPr="00B60938">
        <w:rPr>
          <w:vertAlign w:val="subscript"/>
        </w:rPr>
        <w:t>2</w:t>
      </w:r>
      <w:r w:rsidRPr="00B60938">
        <w:t xml:space="preserve"> (6.652 mL, 91.2 mmol) was refluxed under N</w:t>
      </w:r>
      <w:r w:rsidRPr="00B60938">
        <w:rPr>
          <w:vertAlign w:val="subscript"/>
        </w:rPr>
        <w:t>2</w:t>
      </w:r>
      <w:r w:rsidRPr="00B60938">
        <w:t xml:space="preserve"> atmosphere for 2.5 hours and then the solvent was evaporated under reduced pressure. The residue was solubilized in THF (2 mL) and tris(trimethylsilyl)phosphite (2.286 mL, 6.84 mmol) was added dropwise at 0 °C. The mixture was stirred overnight at room temperature under N</w:t>
      </w:r>
      <w:r w:rsidRPr="00B60938">
        <w:rPr>
          <w:vertAlign w:val="subscript"/>
        </w:rPr>
        <w:t>2</w:t>
      </w:r>
      <w:r w:rsidRPr="00B60938">
        <w:t xml:space="preserve"> atmosphere. Then, methanol (2 mL) was added to the reaction mixture and stirred at room temperature for 4 hours. The solvent was removed under vacuum and the residue was washed first with toluene/hexane and then with diethyl ether/methanol to obtain a white precipitate. The suspension was stirred overnight and filtered to afford </w:t>
      </w:r>
      <w:r w:rsidRPr="00B60938">
        <w:rPr>
          <w:b/>
        </w:rPr>
        <w:t>C</w:t>
      </w:r>
      <w:r w:rsidRPr="00B60938">
        <w:rPr>
          <w:b/>
          <w:vertAlign w:val="subscript"/>
        </w:rPr>
        <w:t>5</w:t>
      </w:r>
      <w:r w:rsidRPr="00B60938">
        <w:rPr>
          <w:rFonts w:eastAsia="Arial-BoldMT"/>
          <w:bCs/>
          <w:lang w:eastAsia="it-IT"/>
        </w:rPr>
        <w:t xml:space="preserve"> as a white solid</w:t>
      </w:r>
      <w:r w:rsidRPr="00B60938">
        <w:t xml:space="preserve">. </w:t>
      </w:r>
      <w:r w:rsidRPr="00B60938">
        <w:rPr>
          <w:vertAlign w:val="superscript"/>
        </w:rPr>
        <w:t>1</w:t>
      </w:r>
      <w:r w:rsidRPr="00B60938">
        <w:t>H NMR (500 MHz, DMSO-d</w:t>
      </w:r>
      <w:r w:rsidRPr="00B60938">
        <w:rPr>
          <w:vertAlign w:val="subscript"/>
        </w:rPr>
        <w:t>6</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1.48 (d, 3H, </w:t>
      </w:r>
      <w:r w:rsidRPr="00B60938">
        <w:rPr>
          <w:i/>
        </w:rPr>
        <w:t>J</w:t>
      </w:r>
      <w:r w:rsidRPr="00B60938">
        <w:t xml:space="preserve"> = 6.9 Hz), 5.08-5.12 (m, 1H), 7.82-7.85 (m, 4H). </w:t>
      </w:r>
      <w:r w:rsidRPr="00B60938">
        <w:rPr>
          <w:vertAlign w:val="superscript"/>
        </w:rPr>
        <w:t>31</w:t>
      </w:r>
      <w:r w:rsidRPr="00B60938">
        <w:t>P NMR (202 MHz, DMSO-d</w:t>
      </w:r>
      <w:r w:rsidRPr="00B60938">
        <w:rPr>
          <w:vertAlign w:val="subscript"/>
        </w:rPr>
        <w:t>6</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17.1 (ABq, 2P, </w:t>
      </w:r>
      <w:r w:rsidRPr="00B60938">
        <w:rPr>
          <w:i/>
        </w:rPr>
        <w:t>J</w:t>
      </w:r>
      <w:r w:rsidRPr="00B60938">
        <w:rPr>
          <w:vertAlign w:val="subscript"/>
        </w:rPr>
        <w:t>P,P</w:t>
      </w:r>
      <w:r w:rsidRPr="00B60938">
        <w:t xml:space="preserve"> = 28.2 Hz). </w:t>
      </w:r>
    </w:p>
    <w:p w14:paraId="77F4EAD7" w14:textId="77777777" w:rsidR="00303C47" w:rsidRPr="00B60938" w:rsidRDefault="00303C47">
      <w:pPr>
        <w:pStyle w:val="TAMainText"/>
      </w:pPr>
      <w:r w:rsidRPr="00B60938">
        <w:rPr>
          <w:b/>
        </w:rPr>
        <w:t>C</w:t>
      </w:r>
      <w:r w:rsidRPr="00B60938">
        <w:rPr>
          <w:b/>
          <w:vertAlign w:val="subscript"/>
        </w:rPr>
        <w:t xml:space="preserve">5 </w:t>
      </w:r>
      <w:r w:rsidRPr="00B60938">
        <w:t xml:space="preserve">was hydrolyzed with 12 N HCl (c) under reflux for 24 hours. The solvent was evaporated under vacuum and the residue was refluxed with ethanol until </w:t>
      </w:r>
      <w:r w:rsidRPr="00B60938">
        <w:rPr>
          <w:b/>
        </w:rPr>
        <w:t>9</w:t>
      </w:r>
      <w:r w:rsidRPr="00B60938">
        <w:t xml:space="preserve"> was obtained as a white powder (303 mg, 1.3 mmol, 57% yield). </w:t>
      </w:r>
      <w:r w:rsidRPr="00B60938">
        <w:rPr>
          <w:vertAlign w:val="superscript"/>
        </w:rPr>
        <w:t>1</w:t>
      </w:r>
      <w:r w:rsidRPr="00B60938">
        <w:t>H NMR (500 MHz, D</w:t>
      </w:r>
      <w:r w:rsidRPr="00B60938">
        <w:rPr>
          <w:vertAlign w:val="subscript"/>
        </w:rPr>
        <w:t>2</w:t>
      </w:r>
      <w:r w:rsidRPr="00B60938">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1.40 (d, 3H, </w:t>
      </w:r>
      <w:r w:rsidRPr="00B60938">
        <w:rPr>
          <w:i/>
        </w:rPr>
        <w:t>J</w:t>
      </w:r>
      <w:r w:rsidRPr="00B60938">
        <w:t xml:space="preserve"> = 7.5 Hz), 3.64-3.71 (m, 1H). </w:t>
      </w:r>
      <w:r w:rsidRPr="00B60938">
        <w:rPr>
          <w:vertAlign w:val="superscript"/>
        </w:rPr>
        <w:t>31</w:t>
      </w:r>
      <w:r w:rsidRPr="00B60938">
        <w:t>P NMR (202 MHz, D</w:t>
      </w:r>
      <w:r w:rsidRPr="00B60938">
        <w:rPr>
          <w:vertAlign w:val="subscript"/>
        </w:rPr>
        <w:t>2</w:t>
      </w:r>
      <w:r w:rsidRPr="00B60938">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14.8 (ABq, 2P, </w:t>
      </w:r>
      <w:r w:rsidRPr="00B60938">
        <w:rPr>
          <w:i/>
        </w:rPr>
        <w:t>J</w:t>
      </w:r>
      <w:r w:rsidRPr="00B60938">
        <w:rPr>
          <w:vertAlign w:val="subscript"/>
        </w:rPr>
        <w:t>P,P</w:t>
      </w:r>
      <w:r w:rsidRPr="00B60938">
        <w:t xml:space="preserve"> = 24.4 Hz).</w:t>
      </w:r>
    </w:p>
    <w:p w14:paraId="09E23990" w14:textId="77777777" w:rsidR="00303C47" w:rsidRPr="00B60938" w:rsidRDefault="00303C47">
      <w:pPr>
        <w:pStyle w:val="TAMainText"/>
        <w:rPr>
          <w:b/>
          <w:lang w:val="pt-BR"/>
        </w:rPr>
      </w:pPr>
      <w:r w:rsidRPr="00B60938">
        <w:rPr>
          <w:b/>
          <w:lang w:val="pt-BR"/>
        </w:rPr>
        <w:t xml:space="preserve">[1-Hydroxy-2-(pyrimidin-2-ylamino)ethane-1,1-diyl]bis(phosphonic acid) </w:t>
      </w:r>
      <w:r w:rsidRPr="00B60938">
        <w:rPr>
          <w:b/>
        </w:rPr>
        <w:t>(10)</w:t>
      </w:r>
      <w:bookmarkStart w:id="5" w:name="_Hlk478122591"/>
      <w:r w:rsidRPr="00B60938">
        <w:rPr>
          <w:b/>
        </w:rPr>
        <w:t xml:space="preserve">. </w:t>
      </w:r>
      <w:r w:rsidRPr="00B60938">
        <w:t xml:space="preserve">2-Chloropyrimidine (93 mg, 0.81 mmol) was added to a solution of </w:t>
      </w:r>
      <w:bookmarkStart w:id="6" w:name="_Hlk478130676"/>
      <w:r w:rsidRPr="00B60938">
        <w:rPr>
          <w:b/>
        </w:rPr>
        <w:t>7</w:t>
      </w:r>
      <w:bookmarkEnd w:id="6"/>
      <w:r w:rsidRPr="00B60938">
        <w:t xml:space="preserve"> (90 mg, 0.41 mmol) and K</w:t>
      </w:r>
      <w:r w:rsidRPr="00B60938">
        <w:rPr>
          <w:vertAlign w:val="subscript"/>
        </w:rPr>
        <w:t>2</w:t>
      </w:r>
      <w:r w:rsidRPr="00B60938">
        <w:t>CO</w:t>
      </w:r>
      <w:r w:rsidRPr="00B60938">
        <w:rPr>
          <w:vertAlign w:val="subscript"/>
        </w:rPr>
        <w:t>3</w:t>
      </w:r>
      <w:r w:rsidRPr="00B60938">
        <w:t xml:space="preserve"> (141 mg, 1.02 mmol) in water (3.5 mL). The resulting reaction mixture was kept under reflux for 18 h. The solvent was removed under reduced pressure and the crude residue was washed three times with ethanol (3 x 5 mL) at 70 °C. Ethanol was removed by decantation, obtaining a pale yellow solid that was dissolved in water (2 mL). The solution of the crude product was acidified until pH = 1 with 4 N HCl, the volume was reduced to 1 mL obtaining a suspension that was kept at 5 °C overnight, affording white crystals of </w:t>
      </w:r>
      <w:r w:rsidRPr="00B60938">
        <w:rPr>
          <w:b/>
        </w:rPr>
        <w:t>10</w:t>
      </w:r>
      <w:r w:rsidRPr="00B60938">
        <w:t xml:space="preserve"> that were washed with cold water (500 µL) and dried under vacuum. Yield: 88 mg (72%).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3.73-3.78 (m, 2H), 6.64 (t, 1H, </w:t>
      </w:r>
      <w:r w:rsidRPr="00B60938">
        <w:rPr>
          <w:i/>
          <w:lang w:val="pt-BR"/>
        </w:rPr>
        <w:t>J</w:t>
      </w:r>
      <w:r w:rsidRPr="00B60938">
        <w:rPr>
          <w:lang w:val="pt-BR"/>
        </w:rPr>
        <w:t xml:space="preserve"> = 4.9 Hz), 8.25 (d, 2H, </w:t>
      </w:r>
      <w:r w:rsidRPr="00B60938">
        <w:rPr>
          <w:i/>
          <w:lang w:val="pt-BR"/>
        </w:rPr>
        <w:t>J</w:t>
      </w:r>
      <w:r w:rsidRPr="00B60938">
        <w:rPr>
          <w:lang w:val="pt-BR"/>
        </w:rPr>
        <w:t xml:space="preserve"> = 4.9 Hz).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16.8 (s, 2P).</w:t>
      </w:r>
      <w:bookmarkEnd w:id="5"/>
    </w:p>
    <w:p w14:paraId="46C6FBBD" w14:textId="2C4D849F" w:rsidR="00303C47" w:rsidRPr="00B60938" w:rsidRDefault="00303C47">
      <w:pPr>
        <w:pStyle w:val="TAMainText"/>
        <w:rPr>
          <w:b/>
          <w:lang w:val="pt-BR"/>
        </w:rPr>
      </w:pPr>
      <w:r w:rsidRPr="00B60938">
        <w:rPr>
          <w:b/>
          <w:lang w:val="pt-BR"/>
        </w:rPr>
        <w:lastRenderedPageBreak/>
        <w:t>[1-Hydroxy-3-(pyrimidin-2-ylamino)propane-1,1-diyl]bis(phosphonic acid) (11)</w:t>
      </w:r>
      <w:bookmarkStart w:id="7" w:name="_Hlk477944471"/>
      <w:r w:rsidRPr="00B60938">
        <w:rPr>
          <w:b/>
          <w:lang w:val="pt-BR"/>
        </w:rPr>
        <w:t xml:space="preserve">. </w:t>
      </w:r>
      <w:r w:rsidRPr="00B60938">
        <w:t xml:space="preserve">2-Chloropyrimidine (97 mg, 0.85 mmol) was added to a solution of </w:t>
      </w:r>
      <w:r w:rsidR="00C91C2C" w:rsidRPr="00B60938">
        <w:rPr>
          <w:rFonts w:eastAsia="Arial-BoldMT"/>
          <w:b/>
          <w:lang w:eastAsia="it-IT"/>
        </w:rPr>
        <w:t>3</w:t>
      </w:r>
      <w:r w:rsidR="00C91C2C" w:rsidRPr="00B60938">
        <w:rPr>
          <w:rFonts w:eastAsia="Arial-BoldMT"/>
          <w:lang w:eastAsia="it-IT"/>
        </w:rPr>
        <w:t xml:space="preserve"> </w:t>
      </w:r>
      <w:r w:rsidRPr="00B60938">
        <w:t>(pamidronic acid, 100 mg, 0.43 mmol) and K</w:t>
      </w:r>
      <w:r w:rsidRPr="00B60938">
        <w:rPr>
          <w:vertAlign w:val="subscript"/>
        </w:rPr>
        <w:t>2</w:t>
      </w:r>
      <w:r w:rsidRPr="00B60938">
        <w:t>CO</w:t>
      </w:r>
      <w:r w:rsidRPr="00B60938">
        <w:rPr>
          <w:vertAlign w:val="subscript"/>
        </w:rPr>
        <w:t>3</w:t>
      </w:r>
      <w:r w:rsidRPr="00B60938">
        <w:t xml:space="preserve"> (147 mg, 1.06 mmol) in water (3.5 mL). The resulting reaction mixture was kept under reflux for 23 h. The solvent was removed under reduced pressure and the reaction crude residue was washed with ethanol (3 x 10 mL) at 70 °C. Ethanol was removed by filtration of the solid, obtaining a pale yellow product that was dissolved in water (2 mL). The solution of the crude product was acidified until pH = 1 by adding 4 N HCl, the volume was reduced to 1 mL obtaining a suspension that was kept at 5 °C for 48 h, affording white crystals of </w:t>
      </w:r>
      <w:r w:rsidRPr="00B60938">
        <w:rPr>
          <w:b/>
        </w:rPr>
        <w:t>11</w:t>
      </w:r>
      <w:r w:rsidRPr="00B60938">
        <w:t xml:space="preserve">, that were washed with cold water (2 mL) and dried under vacuum. Yield: 95 mg (71%). </w:t>
      </w:r>
      <w:r w:rsidRPr="00B60938">
        <w:rPr>
          <w:vertAlign w:val="superscript"/>
        </w:rPr>
        <w:t>1</w:t>
      </w:r>
      <w:r w:rsidRPr="00B60938">
        <w:t>H NMR (500 MHz, D</w:t>
      </w:r>
      <w:r w:rsidRPr="00B60938">
        <w:rPr>
          <w:vertAlign w:val="subscript"/>
        </w:rPr>
        <w:t>2</w:t>
      </w:r>
      <w:r w:rsidRPr="00B60938">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2.16-2.24 (m, 2H), 3.70 (t, 2H, </w:t>
      </w:r>
      <w:r w:rsidRPr="00B60938">
        <w:rPr>
          <w:i/>
        </w:rPr>
        <w:t>J</w:t>
      </w:r>
      <w:r w:rsidRPr="00B60938">
        <w:t xml:space="preserve"> = 7.3 Hz), 6.86 (t, 1H, </w:t>
      </w:r>
      <w:r w:rsidRPr="00B60938">
        <w:rPr>
          <w:i/>
        </w:rPr>
        <w:t>J</w:t>
      </w:r>
      <w:r w:rsidRPr="00B60938">
        <w:t xml:space="preserve"> = 5.4 Hz), 8.40 (d, 2H, </w:t>
      </w:r>
      <w:r w:rsidRPr="00B60938">
        <w:rPr>
          <w:i/>
        </w:rPr>
        <w:t>J</w:t>
      </w:r>
      <w:r w:rsidRPr="00B60938">
        <w:t xml:space="preserve"> = 5.4 Hz)</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17.9 (s, 2P)</w:t>
      </w:r>
      <w:r w:rsidRPr="00B60938">
        <w:rPr>
          <w:lang w:val="pt-BR" w:eastAsia="it-IT"/>
        </w:rPr>
        <w:t>.</w:t>
      </w:r>
    </w:p>
    <w:bookmarkEnd w:id="7"/>
    <w:p w14:paraId="5AB464DD" w14:textId="4A13392A" w:rsidR="00303C47" w:rsidRPr="00B60938" w:rsidRDefault="00303C47">
      <w:pPr>
        <w:pStyle w:val="TAMainText"/>
        <w:rPr>
          <w:b/>
          <w:lang w:val="pt-BR"/>
        </w:rPr>
      </w:pPr>
      <w:r w:rsidRPr="00B60938">
        <w:rPr>
          <w:b/>
          <w:lang w:val="pt-BR"/>
        </w:rPr>
        <w:t xml:space="preserve">[1-Hydroxy-4-(pyrimidin-2-ylamino)butane-1,1-diyl]bis(phosphonic acid) (12). </w:t>
      </w:r>
      <w:r w:rsidRPr="00B60938">
        <w:t xml:space="preserve">2-Chloropyrimidine (92 mg, 0.80 mmol) was added to a solution of </w:t>
      </w:r>
      <w:r w:rsidR="00C91C2C" w:rsidRPr="00B60938">
        <w:rPr>
          <w:b/>
        </w:rPr>
        <w:t>4</w:t>
      </w:r>
      <w:r w:rsidR="00C91C2C" w:rsidRPr="00B60938">
        <w:t xml:space="preserve"> </w:t>
      </w:r>
      <w:r w:rsidRPr="00B60938">
        <w:t>(alendronic acid, 100 mg, 0.40 mmol) and K</w:t>
      </w:r>
      <w:r w:rsidRPr="00B60938">
        <w:rPr>
          <w:vertAlign w:val="subscript"/>
        </w:rPr>
        <w:t>2</w:t>
      </w:r>
      <w:r w:rsidRPr="00B60938">
        <w:t>CO</w:t>
      </w:r>
      <w:r w:rsidRPr="00B60938">
        <w:rPr>
          <w:vertAlign w:val="subscript"/>
        </w:rPr>
        <w:t xml:space="preserve">3 </w:t>
      </w:r>
      <w:r w:rsidRPr="00B60938">
        <w:t xml:space="preserve">(139 mg, 1.01 mmol) in water (3.5 mL). The resulting reaction mixture was kept under reflux for 5 h. The solvent was evaporated under reduced pressure and the crude residue was washed with ethanol (3 x 3 mL) at 70 °C. Ethanol was removed by filtration from the solid, obtaining a pale yellow product that was dissolved in water (2 mL). The solution of the crude product was acidified until pH = 1 by adding 4 N HCl </w:t>
      </w:r>
      <w:bookmarkStart w:id="8" w:name="_Hlk478132103"/>
      <w:r w:rsidRPr="00B60938">
        <w:t>and kept at 5 °C overnight</w:t>
      </w:r>
      <w:bookmarkEnd w:id="8"/>
      <w:r w:rsidRPr="00B60938">
        <w:t xml:space="preserve">, affording white crystals of </w:t>
      </w:r>
      <w:r w:rsidRPr="00B60938">
        <w:rPr>
          <w:b/>
        </w:rPr>
        <w:t>12</w:t>
      </w:r>
      <w:r w:rsidRPr="00B60938">
        <w:t xml:space="preserve">, that were washed with water (2 mL) and dried under vacuum. Yield: 100 mg (76%). </w:t>
      </w:r>
      <w:r w:rsidRPr="00B60938">
        <w:rPr>
          <w:vertAlign w:val="superscript"/>
        </w:rPr>
        <w:t>1</w:t>
      </w:r>
      <w:r w:rsidRPr="00B60938">
        <w:t>H NMR (500MHz,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1.80-1.84 (m, 4H), 3.15 (t, 2H, </w:t>
      </w:r>
      <w:r w:rsidRPr="00B60938">
        <w:rPr>
          <w:i/>
          <w:lang w:val="pt-BR"/>
        </w:rPr>
        <w:t>J</w:t>
      </w:r>
      <w:r w:rsidRPr="00B60938">
        <w:rPr>
          <w:lang w:val="pt-BR"/>
        </w:rPr>
        <w:t xml:space="preserve"> = 6.4 Hz), 6.55 (t, 1H, </w:t>
      </w:r>
      <w:r w:rsidRPr="00B60938">
        <w:rPr>
          <w:i/>
          <w:lang w:val="pt-BR"/>
        </w:rPr>
        <w:t>J</w:t>
      </w:r>
      <w:r w:rsidRPr="00B60938">
        <w:rPr>
          <w:lang w:val="pt-BR"/>
        </w:rPr>
        <w:t xml:space="preserve"> = 4.9 Hz), 8.14 (d, 2H, </w:t>
      </w:r>
      <w:r w:rsidRPr="00B60938">
        <w:rPr>
          <w:i/>
          <w:lang w:val="pt-BR"/>
        </w:rPr>
        <w:t>J</w:t>
      </w:r>
      <w:r w:rsidRPr="00B60938">
        <w:rPr>
          <w:lang w:val="pt-BR"/>
        </w:rPr>
        <w:t xml:space="preserve"> = 4.9 Hz).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18.8 (s, 2P).</w:t>
      </w:r>
    </w:p>
    <w:p w14:paraId="558E5F01" w14:textId="77777777" w:rsidR="00303C47" w:rsidRPr="00B60938" w:rsidRDefault="00303C47">
      <w:pPr>
        <w:pStyle w:val="TAMainText"/>
        <w:rPr>
          <w:b/>
          <w:lang w:val="pt-BR"/>
        </w:rPr>
      </w:pPr>
      <w:r w:rsidRPr="00B60938">
        <w:rPr>
          <w:b/>
          <w:lang w:val="pt-BR"/>
        </w:rPr>
        <w:t xml:space="preserve">[1-Hydroxy-5-(pyrimidin-2-ylamino)pentane-1,1-diyl]bis(phosphonic acid) (13). </w:t>
      </w:r>
      <w:r w:rsidRPr="00B60938">
        <w:t xml:space="preserve">2-Chloropyrimidine (69 mg, 0.60 mmol) was added to a solution of </w:t>
      </w:r>
      <w:r w:rsidRPr="00B60938">
        <w:rPr>
          <w:b/>
        </w:rPr>
        <w:t>8</w:t>
      </w:r>
      <w:r w:rsidRPr="00B60938">
        <w:t xml:space="preserve"> (80 mg, 0.30 mmol) and K</w:t>
      </w:r>
      <w:r w:rsidRPr="00B60938">
        <w:rPr>
          <w:vertAlign w:val="subscript"/>
        </w:rPr>
        <w:t>2</w:t>
      </w:r>
      <w:r w:rsidRPr="00B60938">
        <w:t>CO</w:t>
      </w:r>
      <w:r w:rsidRPr="00B60938">
        <w:rPr>
          <w:vertAlign w:val="subscript"/>
        </w:rPr>
        <w:t xml:space="preserve">3 </w:t>
      </w:r>
      <w:r w:rsidRPr="00B60938">
        <w:t xml:space="preserve">(104 mg, 0.75 mmol) in water (3 mL). The resulting mixture was kept under reflux for 7 h. </w:t>
      </w:r>
      <w:bookmarkStart w:id="9" w:name="_Hlk478131614"/>
      <w:r w:rsidRPr="00B60938">
        <w:t xml:space="preserve">The solvent was removed under reduced pressure and the reaction crude residue was washed three times with ethanol (3 x 6 mL) at 70 °C. The pale-yellow solid obtained from ethanol by decantation, was </w:t>
      </w:r>
      <w:r w:rsidRPr="00B60938">
        <w:lastRenderedPageBreak/>
        <w:t xml:space="preserve">dissolved in water (2 mL). The solution of the crude product was acidified to pH = 1 with 4 N HCl, isopropyl alcohol (400 µL) was added and the resulting mixture was kept at 5 °C overnight, </w:t>
      </w:r>
      <w:bookmarkStart w:id="10" w:name="_Hlk478132197"/>
      <w:r w:rsidRPr="00B60938">
        <w:t xml:space="preserve">obtaining white crystals of </w:t>
      </w:r>
      <w:r w:rsidRPr="00B60938">
        <w:rPr>
          <w:b/>
        </w:rPr>
        <w:t>13</w:t>
      </w:r>
      <w:r w:rsidRPr="00B60938">
        <w:t xml:space="preserve"> that were washed with water (2 mL) and dried under vacuum. </w:t>
      </w:r>
      <w:bookmarkEnd w:id="9"/>
      <w:bookmarkEnd w:id="10"/>
      <w:r w:rsidRPr="00B60938">
        <w:t xml:space="preserve">Yield: 91 mg (89%). </w:t>
      </w:r>
      <w:r w:rsidRPr="00B60938">
        <w:rPr>
          <w:vertAlign w:val="superscript"/>
        </w:rPr>
        <w:t>1</w:t>
      </w:r>
      <w:r w:rsidRPr="00B60938">
        <w:t>H NMR (</w:t>
      </w:r>
      <w:bookmarkStart w:id="11" w:name="_Hlk480459204"/>
      <w:r w:rsidRPr="00B60938">
        <w:t>500 MHz</w:t>
      </w:r>
      <w:bookmarkEnd w:id="11"/>
      <w:r w:rsidRPr="00B60938">
        <w:t>,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1.55-1.60 (m, 2H), 1.63-1.70 (m, 2H), 1.85-1.94 (m, 2H), 3.32 (t, 2H, </w:t>
      </w:r>
      <w:r w:rsidRPr="00B60938">
        <w:rPr>
          <w:i/>
          <w:lang w:val="pt-BR"/>
        </w:rPr>
        <w:t>J</w:t>
      </w:r>
      <w:r w:rsidRPr="00B60938">
        <w:rPr>
          <w:lang w:val="pt-BR"/>
        </w:rPr>
        <w:t xml:space="preserve"> = 6.9 Hz), 6.77 (t, 1H, </w:t>
      </w:r>
      <w:r w:rsidRPr="00B60938">
        <w:rPr>
          <w:i/>
          <w:lang w:val="pt-BR"/>
        </w:rPr>
        <w:t>J</w:t>
      </w:r>
      <w:r w:rsidRPr="00B60938">
        <w:rPr>
          <w:lang w:val="pt-BR"/>
        </w:rPr>
        <w:t xml:space="preserve"> = 4.9 Hz), 8.26 (d, 2H, </w:t>
      </w:r>
      <w:r w:rsidRPr="00B60938">
        <w:rPr>
          <w:i/>
          <w:lang w:val="pt-BR"/>
        </w:rPr>
        <w:t>J</w:t>
      </w:r>
      <w:r w:rsidRPr="00B60938">
        <w:rPr>
          <w:lang w:val="pt-BR"/>
        </w:rPr>
        <w:t xml:space="preserve"> = 4.9 Hz).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18.9 (s, 2P).</w:t>
      </w:r>
    </w:p>
    <w:p w14:paraId="51DF98B5" w14:textId="77777777" w:rsidR="00303C47" w:rsidRPr="00B60938" w:rsidRDefault="00303C47">
      <w:pPr>
        <w:pStyle w:val="TAMainText"/>
        <w:rPr>
          <w:rFonts w:eastAsia="Arial-BoldMT"/>
          <w:b/>
          <w:lang w:val="pt-BR" w:eastAsia="it-IT"/>
        </w:rPr>
      </w:pPr>
      <w:r w:rsidRPr="00B60938" w:rsidDel="00C60500">
        <w:rPr>
          <w:rFonts w:eastAsia="Arial-BoldMT"/>
          <w:b/>
          <w:lang w:eastAsia="it-IT"/>
        </w:rPr>
        <w:t xml:space="preserve"> </w:t>
      </w:r>
      <w:r w:rsidRPr="00B60938">
        <w:rPr>
          <w:b/>
          <w:lang w:val="pt-BR"/>
        </w:rPr>
        <w:t>[1-Hydroxy-2-(quinazolin-2-ylamino)ethane-1,1-diyl]bis(phosphonic acid) (14).</w:t>
      </w:r>
      <w:bookmarkStart w:id="12" w:name="_Hlk478130993"/>
      <w:r w:rsidRPr="00B60938">
        <w:rPr>
          <w:rFonts w:eastAsia="Arial-BoldMT"/>
          <w:b/>
          <w:lang w:eastAsia="it-IT"/>
        </w:rPr>
        <w:t xml:space="preserve"> </w:t>
      </w:r>
      <w:r w:rsidRPr="00B60938">
        <w:t>2-Chloroquinazoline (132 mg, 0.80 mmol) was added to a solution of</w:t>
      </w:r>
      <w:r w:rsidRPr="00B60938">
        <w:rPr>
          <w:rFonts w:eastAsia="Arial-BoldMT"/>
          <w:vertAlign w:val="subscript"/>
          <w:lang w:eastAsia="it-IT"/>
        </w:rPr>
        <w:t xml:space="preserve"> </w:t>
      </w:r>
      <w:r w:rsidRPr="00B60938">
        <w:rPr>
          <w:b/>
        </w:rPr>
        <w:t>7</w:t>
      </w:r>
      <w:r w:rsidRPr="00B60938">
        <w:t xml:space="preserve"> (88 mg, 0.40 mmol) and K</w:t>
      </w:r>
      <w:r w:rsidRPr="00B60938">
        <w:rPr>
          <w:vertAlign w:val="subscript"/>
        </w:rPr>
        <w:t>2</w:t>
      </w:r>
      <w:r w:rsidRPr="00B60938">
        <w:t>CO</w:t>
      </w:r>
      <w:r w:rsidRPr="00B60938">
        <w:rPr>
          <w:vertAlign w:val="subscript"/>
        </w:rPr>
        <w:t>3</w:t>
      </w:r>
      <w:r w:rsidRPr="00B60938">
        <w:t xml:space="preserve"> (138 mg, 1.00 mmol) in water (10 mL). The resulting reaction mixture was kept under reflux for 18 h. </w:t>
      </w:r>
      <w:bookmarkStart w:id="13" w:name="_Hlk478131510"/>
      <w:r w:rsidRPr="00B60938">
        <w:t>The solvent was evaporated under reduced pressure and the reaction crude residue was washed three times with CHCl</w:t>
      </w:r>
      <w:r w:rsidRPr="00B60938">
        <w:rPr>
          <w:vertAlign w:val="subscript"/>
        </w:rPr>
        <w:t>3</w:t>
      </w:r>
      <w:r w:rsidRPr="00B60938">
        <w:t xml:space="preserve"> (3 x 6 mL). The solid, recovered by decantation from chloroform, was dissolved in water (2 mL). The solution was acidified with 4 N HCl obtaining a precipitate that was removed by filtration. The solution was kept at room temperature overnight, affording yellow crystals that were separated by decantation of the solvent. The obtained crystals were suspended in water (18 mL) and filtered. The filtrated solution was concentrated to 3 mL and an excess of acetone was added to the filtrate to yield a yellow precipitate. The isolated product was washed with acetone and dried under vacuum. Yield: 55 mg (40%).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3.89-3.93 (m, 2H), 7.33-7.35 (m, 1H), 7.56-7.58 (m, 1H), 7.80-7.83 (m, 1H), 7.85-7.87 (m, 1H), 9.07 (s, 1H).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rFonts w:cs="Times"/>
          <w:lang w:val="pt-BR" w:eastAsia="it-IT"/>
        </w:rPr>
        <w:t xml:space="preserve"> </w:t>
      </w:r>
      <w:r w:rsidRPr="00B60938">
        <w:rPr>
          <w:lang w:val="pt-BR" w:eastAsia="it-IT"/>
        </w:rPr>
        <w:t>16.9 (s, 2P).</w:t>
      </w:r>
    </w:p>
    <w:bookmarkEnd w:id="12"/>
    <w:bookmarkEnd w:id="13"/>
    <w:p w14:paraId="09F22E73" w14:textId="34DA0E2E" w:rsidR="00303C47" w:rsidRPr="00B60938" w:rsidRDefault="00303C47">
      <w:pPr>
        <w:pStyle w:val="TAMainText"/>
        <w:rPr>
          <w:b/>
          <w:lang w:val="pt-BR"/>
        </w:rPr>
      </w:pPr>
      <w:r w:rsidRPr="00B60938">
        <w:rPr>
          <w:b/>
          <w:lang w:val="pt-BR"/>
        </w:rPr>
        <w:t>[1-Hydroxy-3-(quinazolin-2-ylamino)propane-1,1-diyl]bis(phosphonic acid) (15).</w:t>
      </w:r>
      <w:bookmarkStart w:id="14" w:name="_Hlk477946265"/>
      <w:bookmarkStart w:id="15" w:name="_Hlk478132567"/>
      <w:r w:rsidRPr="00B60938">
        <w:rPr>
          <w:b/>
          <w:lang w:val="pt-BR"/>
        </w:rPr>
        <w:t xml:space="preserve"> </w:t>
      </w:r>
      <w:r w:rsidRPr="00B60938">
        <w:rPr>
          <w:lang w:val="pt-BR"/>
        </w:rPr>
        <w:t>2-Chloroquinazoline (106 mg, 0.65 mmol) was added to a solution of</w:t>
      </w:r>
      <w:r w:rsidRPr="00B60938">
        <w:rPr>
          <w:rFonts w:eastAsia="Arial-BoldMT"/>
          <w:lang w:val="pt-BR" w:eastAsia="it-IT"/>
        </w:rPr>
        <w:t xml:space="preserve"> </w:t>
      </w:r>
      <w:r w:rsidR="00C91C2C" w:rsidRPr="00B60938">
        <w:rPr>
          <w:rFonts w:eastAsia="Arial-BoldMT"/>
          <w:b/>
          <w:lang w:val="pt-BR" w:eastAsia="it-IT"/>
        </w:rPr>
        <w:t>3</w:t>
      </w:r>
      <w:r w:rsidR="00C91C2C" w:rsidRPr="00B60938">
        <w:rPr>
          <w:lang w:val="pt-BR"/>
        </w:rPr>
        <w:t xml:space="preserve"> </w:t>
      </w:r>
      <w:r w:rsidRPr="00B60938">
        <w:rPr>
          <w:lang w:val="pt-BR"/>
        </w:rPr>
        <w:t>(pamidronic acid, 100 mg, 0.43 mmol) and K</w:t>
      </w:r>
      <w:r w:rsidRPr="00B60938">
        <w:rPr>
          <w:vertAlign w:val="subscript"/>
          <w:lang w:val="pt-BR"/>
        </w:rPr>
        <w:t>2</w:t>
      </w:r>
      <w:r w:rsidRPr="00B60938">
        <w:rPr>
          <w:lang w:val="pt-BR"/>
        </w:rPr>
        <w:t>CO</w:t>
      </w:r>
      <w:r w:rsidRPr="00B60938">
        <w:rPr>
          <w:vertAlign w:val="subscript"/>
          <w:lang w:val="pt-BR"/>
        </w:rPr>
        <w:t>3</w:t>
      </w:r>
      <w:r w:rsidRPr="00B60938">
        <w:rPr>
          <w:lang w:val="pt-BR"/>
        </w:rPr>
        <w:t xml:space="preserve"> (147 mg, 1.06 mmol) in water (10 mL). </w:t>
      </w:r>
      <w:r w:rsidRPr="00B60938">
        <w:t>The resulting mixture was kept under reflux for 22 h. The solvent was evaporated under reduced pressure and the crude residue was washed three times with CHCl</w:t>
      </w:r>
      <w:r w:rsidRPr="00B60938">
        <w:rPr>
          <w:vertAlign w:val="subscript"/>
        </w:rPr>
        <w:t>3</w:t>
      </w:r>
      <w:r w:rsidRPr="00B60938">
        <w:t xml:space="preserve"> (3 x 20 mL). The solid, recovered by decantation from chloroform, was dissolved in water (2 mL). The solution was acidified to pH = 1 with 4 N HCl and kept at 5 °C for 24 h, obtaining pale yellow crystals of </w:t>
      </w:r>
      <w:r w:rsidRPr="00B60938">
        <w:rPr>
          <w:b/>
        </w:rPr>
        <w:t>15</w:t>
      </w:r>
      <w:r w:rsidRPr="00B60938">
        <w:t xml:space="preserve"> that were washed with 0.4 N HCl (3 mL) and dried under </w:t>
      </w:r>
      <w:r w:rsidRPr="00B60938">
        <w:lastRenderedPageBreak/>
        <w:t xml:space="preserve">vacuum. Yield: 97 mg (62%). </w:t>
      </w:r>
      <w:r w:rsidRPr="00B60938">
        <w:rPr>
          <w:vertAlign w:val="superscript"/>
        </w:rPr>
        <w:t>1</w:t>
      </w:r>
      <w:r w:rsidRPr="00B60938">
        <w:t>H NMR (500 MHz, D</w:t>
      </w:r>
      <w:r w:rsidRPr="00B60938">
        <w:rPr>
          <w:vertAlign w:val="subscript"/>
        </w:rPr>
        <w:t>2</w:t>
      </w:r>
      <w:r w:rsidRPr="00B60938">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2.03-2.06 (m, 2H), 3.51 (t, 2H, </w:t>
      </w:r>
      <w:r w:rsidRPr="00B60938">
        <w:rPr>
          <w:i/>
        </w:rPr>
        <w:t>J</w:t>
      </w:r>
      <w:r w:rsidRPr="00B60938">
        <w:t xml:space="preserve"> = 7.6 Hz), 7.09-7.11 (m, 1H), 7.28-7.30 (m, 1H), 7.55-7.59 (m, 2H), 8.79 (s, 1H)</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18.4 (s, 2P)</w:t>
      </w:r>
      <w:bookmarkEnd w:id="14"/>
      <w:r w:rsidRPr="00B60938">
        <w:rPr>
          <w:lang w:val="pt-BR" w:eastAsia="it-IT"/>
        </w:rPr>
        <w:t>.</w:t>
      </w:r>
    </w:p>
    <w:bookmarkEnd w:id="15"/>
    <w:p w14:paraId="2AECAB53" w14:textId="328D0ACE" w:rsidR="00303C47" w:rsidRPr="00B60938" w:rsidRDefault="00303C47">
      <w:pPr>
        <w:pStyle w:val="TAMainText"/>
        <w:rPr>
          <w:lang w:val="pt-BR"/>
        </w:rPr>
      </w:pPr>
      <w:r w:rsidRPr="00B60938">
        <w:rPr>
          <w:b/>
          <w:lang w:val="pt-BR"/>
        </w:rPr>
        <w:t>[1-Hydroxy-4-(quinazolin-2-ylamino)butane-1,1-diyl]bis(phosphonic acid) (16).</w:t>
      </w:r>
      <w:r w:rsidRPr="00B60938">
        <w:rPr>
          <w:lang w:val="pt-BR"/>
        </w:rPr>
        <w:t xml:space="preserve"> </w:t>
      </w:r>
      <w:bookmarkStart w:id="16" w:name="_Hlk478133107"/>
      <w:r w:rsidRPr="00B60938">
        <w:t>2-Chloroquinazoline (132 mg, 0.80 mmol) was added to a solution of</w:t>
      </w:r>
      <w:r w:rsidRPr="00B60938">
        <w:rPr>
          <w:rFonts w:eastAsia="Arial-BoldMT"/>
          <w:lang w:eastAsia="it-IT"/>
        </w:rPr>
        <w:t xml:space="preserve"> </w:t>
      </w:r>
      <w:r w:rsidR="00181585" w:rsidRPr="00B60938">
        <w:rPr>
          <w:rFonts w:eastAsia="Arial-BoldMT"/>
          <w:b/>
          <w:lang w:eastAsia="it-IT"/>
        </w:rPr>
        <w:t>4</w:t>
      </w:r>
      <w:r w:rsidR="00181585" w:rsidRPr="00B60938">
        <w:t xml:space="preserve"> </w:t>
      </w:r>
      <w:r w:rsidRPr="00B60938">
        <w:t>(alendronic acid, 100 mg, 0.40 mmol) and K</w:t>
      </w:r>
      <w:r w:rsidRPr="00B60938">
        <w:rPr>
          <w:vertAlign w:val="subscript"/>
        </w:rPr>
        <w:t>2</w:t>
      </w:r>
      <w:r w:rsidRPr="00B60938">
        <w:t>CO</w:t>
      </w:r>
      <w:r w:rsidRPr="00B60938">
        <w:rPr>
          <w:vertAlign w:val="subscript"/>
        </w:rPr>
        <w:t>3</w:t>
      </w:r>
      <w:r w:rsidRPr="00B60938">
        <w:t xml:space="preserve"> (139 mg, 1.01 mmol) in water (10 mL). The resulting reaction mixture was kept under reflux for 25 h. The solvent was removed under reduced pressure and the crude residue was washed three times with CHCl</w:t>
      </w:r>
      <w:r w:rsidRPr="00B60938">
        <w:rPr>
          <w:vertAlign w:val="subscript"/>
        </w:rPr>
        <w:t>3</w:t>
      </w:r>
      <w:r w:rsidRPr="00B60938">
        <w:t xml:space="preserve"> (3 x 20 mL). The solid, recovered by decantation from chloroform, was dissolved in water (3 mL). The solution was acidified to pH = 1 with 4 N HCl and kept at 5 °C for 24 h, obtaining pale yellow crystals of </w:t>
      </w:r>
      <w:r w:rsidRPr="00B60938">
        <w:rPr>
          <w:b/>
        </w:rPr>
        <w:t xml:space="preserve">16 </w:t>
      </w:r>
      <w:r w:rsidRPr="00B60938">
        <w:t xml:space="preserve">that were washed with 0.4 N HCl (3 mL) and dried under vacuum. Yield: 120 mg (80%).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1.78-1.82 (m, 4H), 3.18-3.20 (m, 2H), 7.08-7.10 (m, 1H), 7.27-7.29 (m, 1H), 7.55-7.57 (m, 2H), 8.75 (s, 1H)</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18.8 (s, 2P).</w:t>
      </w:r>
    </w:p>
    <w:bookmarkEnd w:id="16"/>
    <w:p w14:paraId="547555CF" w14:textId="77777777" w:rsidR="00303C47" w:rsidRPr="00B60938" w:rsidRDefault="00303C47">
      <w:pPr>
        <w:pStyle w:val="TAMainText"/>
        <w:rPr>
          <w:b/>
          <w:lang w:val="pt-BR"/>
        </w:rPr>
      </w:pPr>
      <w:r w:rsidRPr="00B60938">
        <w:rPr>
          <w:b/>
          <w:lang w:val="pt-BR"/>
        </w:rPr>
        <w:t xml:space="preserve">[1-Hydroxy-5-(quinazolin-2-ylamino)pentane-1,1-diyl]bis(phosphonic acid) (17). </w:t>
      </w:r>
      <w:bookmarkStart w:id="17" w:name="_Hlk477948099"/>
      <w:r w:rsidRPr="00B60938">
        <w:t>2-Chloroquinazoline (74 mg, 0.45 mmol) was added to a solution of</w:t>
      </w:r>
      <w:r w:rsidRPr="00B60938">
        <w:rPr>
          <w:rFonts w:eastAsia="Arial-BoldMT"/>
          <w:lang w:eastAsia="it-IT"/>
        </w:rPr>
        <w:t xml:space="preserve"> </w:t>
      </w:r>
      <w:r w:rsidRPr="00B60938">
        <w:rPr>
          <w:rFonts w:eastAsia="Arial-BoldMT"/>
          <w:b/>
          <w:lang w:eastAsia="it-IT"/>
        </w:rPr>
        <w:t>8</w:t>
      </w:r>
      <w:r w:rsidRPr="00B60938">
        <w:t xml:space="preserve"> (80 mg, 0.30 mmol) and K</w:t>
      </w:r>
      <w:r w:rsidRPr="00B60938">
        <w:rPr>
          <w:vertAlign w:val="subscript"/>
        </w:rPr>
        <w:t>2</w:t>
      </w:r>
      <w:r w:rsidRPr="00B60938">
        <w:t>CO</w:t>
      </w:r>
      <w:r w:rsidRPr="00B60938">
        <w:rPr>
          <w:vertAlign w:val="subscript"/>
        </w:rPr>
        <w:t>3</w:t>
      </w:r>
      <w:r w:rsidRPr="00B60938">
        <w:t xml:space="preserve"> (104 mg, 0.75 mmol) in water (8 mL). The resulting reaction mixture was kept under reflux for 18 h. The solvent was evaporated under reduced pressure and the reaction crude residue was washed three times with CHCl</w:t>
      </w:r>
      <w:r w:rsidRPr="00B60938">
        <w:rPr>
          <w:vertAlign w:val="subscript"/>
        </w:rPr>
        <w:t>3</w:t>
      </w:r>
      <w:r w:rsidRPr="00B60938">
        <w:t xml:space="preserve"> (3 x 20 mL). The solid, recovered by decantation from chloroform, was dissolved in water (3 mL). The solution was acidified to pH = 1 with 4 N HCl and kept at 5 °C for 72 h, obtaining pale yellow crystals of </w:t>
      </w:r>
      <w:r w:rsidRPr="00B60938">
        <w:rPr>
          <w:b/>
        </w:rPr>
        <w:t>17</w:t>
      </w:r>
      <w:r w:rsidRPr="00B60938">
        <w:t xml:space="preserve"> that were washed with 0.4 N HCl (3 mL) and dried under vacuum. Yield: 90 mg (77%).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1.38-1.69 (m, 4H), 1.69-1.88 (m, 2H), 3.18-3.38 (m, 2H), 7.18-7.20 (m, 1H), 7.37-7.39 (m, 1H), 7.60-7.66 (m, 2H), 8.83 (s, 1H)</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 xml:space="preserve">O/NaOD): </w:t>
      </w:r>
      <w:r w:rsidRPr="00B60938">
        <w:rPr>
          <w:rFonts w:cs="Times"/>
          <w:lang w:val="pt-BR" w:eastAsia="it-IT"/>
        </w:rPr>
        <w:t>δ</w:t>
      </w:r>
      <w:r w:rsidRPr="00B60938">
        <w:rPr>
          <w:lang w:val="pt-BR" w:eastAsia="it-IT"/>
        </w:rPr>
        <w:t xml:space="preserve"> 18.9 (s, 2P).</w:t>
      </w:r>
    </w:p>
    <w:bookmarkEnd w:id="17"/>
    <w:p w14:paraId="3469CB0E" w14:textId="77777777" w:rsidR="00303C47" w:rsidRPr="00B60938" w:rsidRDefault="00303C47">
      <w:pPr>
        <w:pStyle w:val="TAMainText"/>
        <w:rPr>
          <w:b/>
          <w:lang w:val="pt-BR"/>
        </w:rPr>
      </w:pPr>
      <w:r w:rsidRPr="00B60938">
        <w:rPr>
          <w:b/>
          <w:lang w:val="pt-BR"/>
        </w:rPr>
        <w:t>(</w:t>
      </w:r>
      <w:r w:rsidRPr="00B60938">
        <w:rPr>
          <w:b/>
          <w:i/>
          <w:lang w:val="pt-BR"/>
        </w:rPr>
        <w:t>RS</w:t>
      </w:r>
      <w:r w:rsidRPr="00B60938">
        <w:rPr>
          <w:b/>
          <w:lang w:val="pt-BR"/>
        </w:rPr>
        <w:t xml:space="preserve">)-[1-Hydroxy-2-(quinazolin-2-ylamino)propane-1,1-diyl]bis(phosphonic acid) (18). </w:t>
      </w:r>
      <w:r w:rsidRPr="00B60938">
        <w:t>2-Chloroquinazoline (105 mg, 0.64 mmol) was added to a solution of</w:t>
      </w:r>
      <w:r w:rsidRPr="00B60938">
        <w:rPr>
          <w:rFonts w:eastAsia="Arial-BoldMT"/>
          <w:lang w:eastAsia="it-IT"/>
        </w:rPr>
        <w:t xml:space="preserve"> </w:t>
      </w:r>
      <w:r w:rsidRPr="00B60938">
        <w:rPr>
          <w:rFonts w:eastAsia="Arial-BoldMT"/>
          <w:b/>
          <w:lang w:eastAsia="it-IT"/>
        </w:rPr>
        <w:t>9</w:t>
      </w:r>
      <w:r w:rsidRPr="00B60938">
        <w:t xml:space="preserve"> (100 mg, 0.43 mmol) and K</w:t>
      </w:r>
      <w:r w:rsidRPr="00B60938">
        <w:rPr>
          <w:vertAlign w:val="subscript"/>
        </w:rPr>
        <w:t>2</w:t>
      </w:r>
      <w:r w:rsidRPr="00B60938">
        <w:t>CO</w:t>
      </w:r>
      <w:r w:rsidRPr="00B60938">
        <w:rPr>
          <w:vertAlign w:val="subscript"/>
        </w:rPr>
        <w:t>3</w:t>
      </w:r>
      <w:r w:rsidRPr="00B60938">
        <w:t xml:space="preserve"> (147 mg, 1.06 mmol) in water (8 mL). The resulting reaction mixture was kept under reflux </w:t>
      </w:r>
      <w:r w:rsidRPr="00B60938">
        <w:lastRenderedPageBreak/>
        <w:t>for 21 h. The solvent was evaporated under reduced pressure and the reaction crude residue was washed three times with CHCl</w:t>
      </w:r>
      <w:r w:rsidRPr="00B60938">
        <w:rPr>
          <w:vertAlign w:val="subscript"/>
        </w:rPr>
        <w:t>3</w:t>
      </w:r>
      <w:r w:rsidRPr="00B60938">
        <w:t xml:space="preserve"> (3 x 20 mL). The solid, recovered by decantation from chloroform, was dissolved in water (3 mL). The solution was acidified to pH = 1 with 4 N HCl and kept at 5 °C for 24 h, obtaining pale yellow crystals of </w:t>
      </w:r>
      <w:r w:rsidRPr="00B60938">
        <w:rPr>
          <w:b/>
        </w:rPr>
        <w:t>18</w:t>
      </w:r>
      <w:r w:rsidRPr="00B60938">
        <w:t xml:space="preserve"> that were washed with water (3 mL) and dried under vacuum. Yield: 112 mg (72%).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1.38 (d, 3H, </w:t>
      </w:r>
      <w:r w:rsidRPr="00B60938">
        <w:rPr>
          <w:i/>
        </w:rPr>
        <w:t>J</w:t>
      </w:r>
      <w:r w:rsidRPr="00B60938">
        <w:t xml:space="preserve"> = 6.9 Hz), 4.34-4.43 (m, 1H), 7.13 (m, 1H), 7.34-7.36 (m, 1H), 7.60-7.65 (m, 2H), 8.87 (s, 1H)</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 xml:space="preserve">17.2 </w:t>
      </w:r>
      <w:r w:rsidRPr="00B60938">
        <w:rPr>
          <w:lang w:val="pt-BR"/>
        </w:rPr>
        <w:t xml:space="preserve">(ABq, 2P, </w:t>
      </w:r>
      <w:r w:rsidRPr="00B60938">
        <w:rPr>
          <w:i/>
          <w:lang w:val="pt-BR"/>
        </w:rPr>
        <w:t>J</w:t>
      </w:r>
      <w:r w:rsidRPr="00B60938">
        <w:rPr>
          <w:vertAlign w:val="subscript"/>
          <w:lang w:val="pt-BR"/>
        </w:rPr>
        <w:t>AB</w:t>
      </w:r>
      <w:r w:rsidRPr="00B60938">
        <w:rPr>
          <w:lang w:val="pt-BR"/>
        </w:rPr>
        <w:t xml:space="preserve"> = 20 Hz).</w:t>
      </w:r>
    </w:p>
    <w:p w14:paraId="599F9E4B" w14:textId="2DDE48DE" w:rsidR="00303C47" w:rsidRPr="00B60938" w:rsidRDefault="00303C47">
      <w:pPr>
        <w:pStyle w:val="TAMainText"/>
        <w:rPr>
          <w:lang w:val="pt-BR"/>
        </w:rPr>
      </w:pPr>
      <w:r w:rsidRPr="00B60938">
        <w:rPr>
          <w:b/>
          <w:lang w:val="pt-BR"/>
        </w:rPr>
        <w:t>[1-Hydroxy-2-(quinazolin-4-ylamino)ethane-1,1-diyl]bis(phosphonic acid) (19)</w:t>
      </w:r>
      <w:r w:rsidRPr="00B60938">
        <w:rPr>
          <w:lang w:val="pt-BR"/>
        </w:rPr>
        <w:t xml:space="preserve">. </w:t>
      </w:r>
      <w:bookmarkStart w:id="18" w:name="_Hlk477950817"/>
      <w:bookmarkStart w:id="19" w:name="_Hlk478134781"/>
      <w:r w:rsidRPr="00B60938">
        <w:t xml:space="preserve">4-Chloroquinazoline (112 mg, 0.68 mmol) was added to a solution of </w:t>
      </w:r>
      <w:r w:rsidR="00894E68" w:rsidRPr="00B60938">
        <w:rPr>
          <w:b/>
        </w:rPr>
        <w:t>7</w:t>
      </w:r>
      <w:r w:rsidR="00894E68" w:rsidRPr="00B60938">
        <w:t xml:space="preserve"> </w:t>
      </w:r>
      <w:r w:rsidRPr="00B60938">
        <w:t>(pamidronic acid, 100 mg, 0.45 mmol) and K</w:t>
      </w:r>
      <w:r w:rsidRPr="00B60938">
        <w:rPr>
          <w:vertAlign w:val="subscript"/>
        </w:rPr>
        <w:t>2</w:t>
      </w:r>
      <w:r w:rsidRPr="00B60938">
        <w:t>CO</w:t>
      </w:r>
      <w:r w:rsidRPr="00B60938">
        <w:rPr>
          <w:vertAlign w:val="subscript"/>
        </w:rPr>
        <w:t>3</w:t>
      </w:r>
      <w:r w:rsidRPr="00B60938">
        <w:t xml:space="preserve"> (156 mg, 1.13 mmol) in water (10 mL). The resulting reaction mixture was kept at 95 °C for 20 h. The resulting suspension was filtered. The filtrate was evaporated under vacuum and the reaction crude residue was washed three times with hot CHCl</w:t>
      </w:r>
      <w:r w:rsidRPr="00B60938">
        <w:rPr>
          <w:vertAlign w:val="subscript"/>
        </w:rPr>
        <w:t xml:space="preserve">3 </w:t>
      </w:r>
      <w:r w:rsidRPr="00B60938">
        <w:t xml:space="preserve">(3 x 20 mL). The white solid, recovered by decantation from chloroform, was dissolved in water (3 mL). The obtained solution was acidified to pH = 1 with 4 N HCl and kept at 5 °C for 24 h. The formed crystals of </w:t>
      </w:r>
      <w:r w:rsidRPr="00B60938">
        <w:rPr>
          <w:b/>
        </w:rPr>
        <w:t>19</w:t>
      </w:r>
      <w:r w:rsidRPr="00B60938">
        <w:t xml:space="preserve"> were isolated by filtration and washed with 0.4 N HCl (5 mL). Yield: 103 mg (65%).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3.75-3.79 (m, 2H), 7.42-7.44 (m, 1H), 7.49-7.51 (m, 1H), 7.65-7.68 (m, 1H), 7.84-7.86 (m, 1H), 8.18 (s, 1H)</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16.9 (s, 2P).</w:t>
      </w:r>
      <w:bookmarkEnd w:id="18"/>
    </w:p>
    <w:bookmarkEnd w:id="19"/>
    <w:p w14:paraId="5B8884A7" w14:textId="7F9F5B31" w:rsidR="00303C47" w:rsidRPr="00B60938" w:rsidRDefault="00303C47">
      <w:pPr>
        <w:pStyle w:val="TAMainText"/>
        <w:rPr>
          <w:b/>
          <w:lang w:val="pt-BR"/>
        </w:rPr>
      </w:pPr>
      <w:r w:rsidRPr="00B60938">
        <w:rPr>
          <w:b/>
          <w:lang w:val="pt-BR"/>
        </w:rPr>
        <w:t>[1-Hydroxy-3-(quinazolin-4-ylamino)propane-1,1-diyl]bis(phosphonic acid) (20).</w:t>
      </w:r>
      <w:bookmarkStart w:id="20" w:name="_Hlk477949370"/>
      <w:r w:rsidRPr="00B60938">
        <w:rPr>
          <w:b/>
          <w:lang w:val="pt-BR"/>
        </w:rPr>
        <w:t xml:space="preserve"> </w:t>
      </w:r>
      <w:r w:rsidRPr="00B60938">
        <w:rPr>
          <w:lang w:val="pt-BR"/>
        </w:rPr>
        <w:t xml:space="preserve">4-Chloroquinazoline (105 mg, 0.64 mmol) was added to a solution of </w:t>
      </w:r>
      <w:r w:rsidR="00894E68" w:rsidRPr="00B60938">
        <w:rPr>
          <w:rFonts w:eastAsia="Arial-BoldMT"/>
          <w:b/>
          <w:lang w:val="pt-BR" w:eastAsia="it-IT"/>
        </w:rPr>
        <w:t>3</w:t>
      </w:r>
      <w:r w:rsidR="00894E68" w:rsidRPr="00B60938">
        <w:rPr>
          <w:lang w:val="pt-BR"/>
        </w:rPr>
        <w:t xml:space="preserve"> </w:t>
      </w:r>
      <w:r w:rsidRPr="00B60938">
        <w:rPr>
          <w:lang w:val="pt-BR"/>
        </w:rPr>
        <w:t>(pamidronic acid, 100 mg, 0.43 mmol) and K</w:t>
      </w:r>
      <w:r w:rsidRPr="00B60938">
        <w:rPr>
          <w:vertAlign w:val="subscript"/>
          <w:lang w:val="pt-BR"/>
        </w:rPr>
        <w:t>2</w:t>
      </w:r>
      <w:r w:rsidRPr="00B60938">
        <w:rPr>
          <w:lang w:val="pt-BR"/>
        </w:rPr>
        <w:t>CO</w:t>
      </w:r>
      <w:r w:rsidRPr="00B60938">
        <w:rPr>
          <w:vertAlign w:val="subscript"/>
          <w:lang w:val="pt-BR"/>
        </w:rPr>
        <w:t>3</w:t>
      </w:r>
      <w:r w:rsidRPr="00B60938">
        <w:rPr>
          <w:lang w:val="pt-BR"/>
        </w:rPr>
        <w:t xml:space="preserve"> (149 mg, 1.08 mmol) in water (10 mL). </w:t>
      </w:r>
      <w:r w:rsidRPr="00B60938">
        <w:t>The resulting reaction mixture was kept at 95 °C for 24 h. The resulting suspension was filtered. The filtrate was evaporated under vacuum and the reaction crude residue was washed three times with hot CHCl</w:t>
      </w:r>
      <w:r w:rsidRPr="00B60938">
        <w:rPr>
          <w:vertAlign w:val="subscript"/>
        </w:rPr>
        <w:t xml:space="preserve">3 </w:t>
      </w:r>
      <w:r w:rsidRPr="00B60938">
        <w:t xml:space="preserve">(3 x 20 mL). The white solid, recovered by decantation from chloroform, was dissolved in water (2 mL). The solution was acidified to pH = 1 with 4 N HCl obtaining pale yellow crystals of </w:t>
      </w:r>
      <w:r w:rsidRPr="00B60938">
        <w:rPr>
          <w:b/>
        </w:rPr>
        <w:t>20</w:t>
      </w:r>
      <w:r w:rsidRPr="00B60938">
        <w:t xml:space="preserve"> that were isolated by filtration and washed with water (5 mL). Yield: 128 mg (82%).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2.13-2.21 (m, </w:t>
      </w:r>
      <w:r w:rsidRPr="00B60938">
        <w:lastRenderedPageBreak/>
        <w:t>2H), 3.62-3.65 (m, 2H), 7.36-7.38 (m, 1H), 7.45-7.47 (m, 1H), 7.61-7.63 (m, 1H), 7.94-7.96 (m, 1H), 8.14 (s, 1H)</w:t>
      </w:r>
      <w:r w:rsidRPr="00B60938">
        <w:rPr>
          <w:lang w:val="pt-BR"/>
        </w:rPr>
        <w:t xml:space="preserve">.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18.5 (s, 2P)</w:t>
      </w:r>
      <w:bookmarkEnd w:id="20"/>
      <w:r w:rsidRPr="00B60938">
        <w:rPr>
          <w:lang w:val="pt-BR" w:eastAsia="it-IT"/>
        </w:rPr>
        <w:t>.</w:t>
      </w:r>
    </w:p>
    <w:p w14:paraId="1F55D99B" w14:textId="7171DA27" w:rsidR="00303C47" w:rsidRPr="00B60938" w:rsidRDefault="00303C47">
      <w:pPr>
        <w:pStyle w:val="TAMainText"/>
        <w:rPr>
          <w:b/>
          <w:lang w:val="pt-BR"/>
        </w:rPr>
      </w:pPr>
      <w:r w:rsidRPr="00B60938">
        <w:rPr>
          <w:b/>
          <w:lang w:val="pt-BR"/>
        </w:rPr>
        <w:t xml:space="preserve">[1-Hydroxy-4-(quinazolin-4-ylamino)butane-1,1-diyl]bis(phosphonic acid) (21). </w:t>
      </w:r>
      <w:r w:rsidRPr="00D85C4C">
        <w:rPr>
          <w:lang w:val="pt-BR"/>
        </w:rPr>
        <w:t xml:space="preserve">4-Chloroquinazoline (79 mg, 0.48 mmol) was added to a solution of </w:t>
      </w:r>
      <w:r w:rsidR="00894E68" w:rsidRPr="00D85C4C">
        <w:rPr>
          <w:b/>
          <w:lang w:val="pt-BR"/>
        </w:rPr>
        <w:t>4</w:t>
      </w:r>
      <w:r w:rsidR="00894E68" w:rsidRPr="00D85C4C">
        <w:rPr>
          <w:lang w:val="pt-BR"/>
        </w:rPr>
        <w:t xml:space="preserve"> </w:t>
      </w:r>
      <w:r w:rsidRPr="00D85C4C">
        <w:rPr>
          <w:lang w:val="pt-BR"/>
        </w:rPr>
        <w:t>(alendronic acid, 80 mg, 0.32 mmol) and K</w:t>
      </w:r>
      <w:r w:rsidRPr="00D85C4C">
        <w:rPr>
          <w:vertAlign w:val="subscript"/>
          <w:lang w:val="pt-BR"/>
        </w:rPr>
        <w:t>2</w:t>
      </w:r>
      <w:r w:rsidRPr="00D85C4C">
        <w:rPr>
          <w:lang w:val="pt-BR"/>
        </w:rPr>
        <w:t>CO</w:t>
      </w:r>
      <w:r w:rsidRPr="00D85C4C">
        <w:rPr>
          <w:vertAlign w:val="subscript"/>
          <w:lang w:val="pt-BR"/>
        </w:rPr>
        <w:t>3</w:t>
      </w:r>
      <w:r w:rsidRPr="00D85C4C">
        <w:rPr>
          <w:lang w:val="pt-BR"/>
        </w:rPr>
        <w:t xml:space="preserve"> (111 mg, 0.80 mmol) in water (10 mL). </w:t>
      </w:r>
      <w:r w:rsidRPr="00B60938">
        <w:t>The resulting reaction mixture was kept at 90 °C for 20 h. The resulting suspension was filtered. The filtrate was evaporated under vacuum and the reaction crude residue was washed three times with hot CHCl</w:t>
      </w:r>
      <w:r w:rsidRPr="00B60938">
        <w:rPr>
          <w:vertAlign w:val="subscript"/>
        </w:rPr>
        <w:t>3</w:t>
      </w:r>
      <w:r w:rsidRPr="00B60938">
        <w:t xml:space="preserve">. The white solid, recovered from chloroform by decantation, was dissolved in water (3 mL). The obtained solution was acidified to pH = 1 with 4 N HCl and kept overnight at 5 °C. The obtained crystals of </w:t>
      </w:r>
      <w:r w:rsidRPr="00B60938">
        <w:rPr>
          <w:b/>
        </w:rPr>
        <w:t>21</w:t>
      </w:r>
      <w:r w:rsidRPr="00B60938">
        <w:t xml:space="preserve"> were isolated by filtration and washed with water (5 mL). Yield: 102 mg (83%).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1.92-2.12 (m, 4H), 3.51-3.53 (m, 2H), 7.54-7.57 (m, 1H), 7.67 (d, 1H, </w:t>
      </w:r>
      <w:r w:rsidRPr="00B60938">
        <w:rPr>
          <w:i/>
          <w:lang w:val="pt-BR"/>
        </w:rPr>
        <w:t>J</w:t>
      </w:r>
      <w:r w:rsidRPr="00B60938">
        <w:rPr>
          <w:lang w:val="pt-BR"/>
        </w:rPr>
        <w:t xml:space="preserve"> = 8.3 Hz), 7.79-7.82 (m, 1H), 8.12 (d, 1H, </w:t>
      </w:r>
      <w:bookmarkStart w:id="21" w:name="_Hlk478636173"/>
      <w:r w:rsidRPr="00B60938">
        <w:rPr>
          <w:i/>
          <w:lang w:val="pt-BR"/>
        </w:rPr>
        <w:t>J</w:t>
      </w:r>
      <w:r w:rsidRPr="00B60938">
        <w:rPr>
          <w:lang w:val="pt-BR"/>
        </w:rPr>
        <w:t xml:space="preserve"> = </w:t>
      </w:r>
      <w:bookmarkEnd w:id="21"/>
      <w:r w:rsidRPr="00B60938">
        <w:rPr>
          <w:lang w:val="pt-BR"/>
        </w:rPr>
        <w:t xml:space="preserve">8.3 Hz), </w:t>
      </w:r>
      <w:r w:rsidRPr="00B60938">
        <w:t>8.34</w:t>
      </w:r>
      <w:r w:rsidRPr="00B60938">
        <w:rPr>
          <w:lang w:val="pt-BR"/>
        </w:rPr>
        <w:t xml:space="preserve"> (s, 1H).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18.5 (s, 2P).</w:t>
      </w:r>
    </w:p>
    <w:p w14:paraId="3B89C81B" w14:textId="77777777" w:rsidR="00303C47" w:rsidRPr="00B60938" w:rsidRDefault="00303C47">
      <w:pPr>
        <w:pStyle w:val="TAMainText"/>
        <w:rPr>
          <w:b/>
          <w:lang w:val="pt-BR"/>
        </w:rPr>
      </w:pPr>
      <w:r w:rsidRPr="00B60938" w:rsidDel="008A5E4A">
        <w:rPr>
          <w:b/>
          <w:lang w:val="pt-BR"/>
        </w:rPr>
        <w:t xml:space="preserve"> </w:t>
      </w:r>
      <w:r w:rsidRPr="00B60938">
        <w:rPr>
          <w:b/>
          <w:lang w:val="pt-BR"/>
        </w:rPr>
        <w:t>[1-Hydroxy-5-(quinazolin-4-ylamino)pentane-1,1-diyl]bis(phosphonic acid) (22).</w:t>
      </w:r>
      <w:bookmarkStart w:id="22" w:name="_Hlk478134132"/>
      <w:r w:rsidRPr="00B60938">
        <w:rPr>
          <w:b/>
          <w:lang w:val="pt-BR"/>
        </w:rPr>
        <w:t xml:space="preserve"> </w:t>
      </w:r>
      <w:r w:rsidRPr="00B60938">
        <w:t xml:space="preserve">4-Chloroquinazoline (74 mg, 0.45 mmol) was added to a solution of </w:t>
      </w:r>
      <w:r w:rsidRPr="00B60938">
        <w:rPr>
          <w:b/>
        </w:rPr>
        <w:t>8</w:t>
      </w:r>
      <w:r w:rsidRPr="00B60938">
        <w:t xml:space="preserve"> (80 mg, 0.30 mmol) and K</w:t>
      </w:r>
      <w:r w:rsidRPr="00B60938">
        <w:rPr>
          <w:vertAlign w:val="subscript"/>
        </w:rPr>
        <w:t>2</w:t>
      </w:r>
      <w:r w:rsidRPr="00B60938">
        <w:t>CO</w:t>
      </w:r>
      <w:r w:rsidRPr="00B60938">
        <w:rPr>
          <w:vertAlign w:val="subscript"/>
        </w:rPr>
        <w:t>3</w:t>
      </w:r>
      <w:r w:rsidRPr="00B60938">
        <w:t xml:space="preserve"> (104 mg, 0.75 mmol) in water (10 mL), and the resulting reaction mixture was kept at 90 °C for 18 h. The resulting suspension was filtered. The filtrate was concentrated under vacuum and the reaction crude residue was washed three times with hot CHCl</w:t>
      </w:r>
      <w:r w:rsidRPr="00B60938">
        <w:rPr>
          <w:vertAlign w:val="subscript"/>
        </w:rPr>
        <w:t>3</w:t>
      </w:r>
      <w:r w:rsidRPr="00B60938">
        <w:t xml:space="preserve">. The white solid recovered from chloroform by decantation was dissolved in water (4 mL). The obtained solution was acidified to pH = 1 with 4 N HCl and kept overnight at 5 °C. The obtained crystals of </w:t>
      </w:r>
      <w:r w:rsidRPr="00B60938">
        <w:rPr>
          <w:b/>
        </w:rPr>
        <w:t>22</w:t>
      </w:r>
      <w:r w:rsidRPr="00B60938">
        <w:t xml:space="preserve"> were isolated by filtration and washed with water (5 mL). Yield: 106 mg (91%). </w:t>
      </w:r>
      <w:r w:rsidRPr="00B60938">
        <w:rPr>
          <w:vertAlign w:val="superscript"/>
        </w:rPr>
        <w:t>1</w:t>
      </w:r>
      <w:r w:rsidRPr="00B60938">
        <w:t>H NMR (</w:t>
      </w:r>
      <w:bookmarkStart w:id="23" w:name="_Hlk480467788"/>
      <w:r w:rsidRPr="00B60938">
        <w:t>500 MHz, D</w:t>
      </w:r>
      <w:r w:rsidRPr="00B60938">
        <w:rPr>
          <w:vertAlign w:val="subscript"/>
        </w:rPr>
        <w:t>2</w:t>
      </w:r>
      <w:r w:rsidRPr="00B60938">
        <w:t>O/NaOD</w:t>
      </w:r>
      <w:bookmarkEnd w:id="23"/>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1.65-1.75 (m, 4H), 1.88-1.94 (m, 2H), 3.52-3.55 (m, 2H), 7.51-7.54 (m, 1H), 7.64 (m, 1H), 7.77-7.80 (m, 1H), 7.99 (m, 1H</w:t>
      </w:r>
      <w:bookmarkStart w:id="24" w:name="_Hlk480465126"/>
      <w:r w:rsidRPr="00B60938">
        <w:rPr>
          <w:lang w:val="pt-BR"/>
        </w:rPr>
        <w:t xml:space="preserve">), </w:t>
      </w:r>
      <w:bookmarkEnd w:id="24"/>
      <w:r w:rsidRPr="00B60938">
        <w:t>8.29</w:t>
      </w:r>
      <w:r w:rsidRPr="00B60938">
        <w:rPr>
          <w:lang w:val="pt-BR"/>
        </w:rPr>
        <w:t xml:space="preserve"> (s, 1H). </w:t>
      </w:r>
      <w:r w:rsidRPr="00B60938">
        <w:rPr>
          <w:vertAlign w:val="superscript"/>
          <w:lang w:val="pt-BR" w:eastAsia="it-IT"/>
        </w:rPr>
        <w:t>31</w:t>
      </w:r>
      <w:r w:rsidRPr="00B60938">
        <w:rPr>
          <w:lang w:val="pt-BR" w:eastAsia="it-IT"/>
        </w:rPr>
        <w:t>P NMR (202 MHz, D</w:t>
      </w:r>
      <w:r w:rsidRPr="00B60938">
        <w:rPr>
          <w:vertAlign w:val="subscript"/>
          <w:lang w:val="pt-BR" w:eastAsia="it-IT"/>
        </w:rPr>
        <w:t>2</w:t>
      </w:r>
      <w:r w:rsidRPr="00B60938">
        <w:rPr>
          <w:lang w:val="pt-BR" w:eastAsia="it-IT"/>
        </w:rPr>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18.7 (s, 2P).</w:t>
      </w:r>
    </w:p>
    <w:bookmarkEnd w:id="22"/>
    <w:p w14:paraId="2FCE8183" w14:textId="75E32CC6" w:rsidR="00303C47" w:rsidRPr="00B60938" w:rsidRDefault="00303C47">
      <w:pPr>
        <w:pStyle w:val="TAMainText"/>
        <w:rPr>
          <w:b/>
          <w:lang w:val="pt-BR"/>
        </w:rPr>
      </w:pPr>
      <w:r w:rsidRPr="00B60938">
        <w:rPr>
          <w:b/>
          <w:lang w:val="pt-BR"/>
        </w:rPr>
        <w:t>(</w:t>
      </w:r>
      <w:r w:rsidRPr="00B60938">
        <w:rPr>
          <w:b/>
          <w:i/>
          <w:lang w:val="pt-BR"/>
        </w:rPr>
        <w:t>RS</w:t>
      </w:r>
      <w:r w:rsidRPr="00B60938">
        <w:rPr>
          <w:b/>
          <w:lang w:val="pt-BR"/>
        </w:rPr>
        <w:t xml:space="preserve">)-[1-Hydroxy-2-(quinazolin-4-ylamino)propane-1,1-diyl]bis(phosphonic acid) (23). </w:t>
      </w:r>
      <w:r w:rsidRPr="00B60938">
        <w:t xml:space="preserve">4-Chloroquinazoline (105 mg, 0.64 mmol) was added to a solution of </w:t>
      </w:r>
      <w:r w:rsidRPr="00B60938">
        <w:rPr>
          <w:b/>
        </w:rPr>
        <w:t>9</w:t>
      </w:r>
      <w:r w:rsidRPr="00B60938">
        <w:t xml:space="preserve"> (100 mg, 0.42 mmol) and K</w:t>
      </w:r>
      <w:r w:rsidRPr="00B60938">
        <w:rPr>
          <w:vertAlign w:val="subscript"/>
        </w:rPr>
        <w:t>2</w:t>
      </w:r>
      <w:r w:rsidRPr="00B60938">
        <w:t>CO</w:t>
      </w:r>
      <w:r w:rsidRPr="00B60938">
        <w:rPr>
          <w:vertAlign w:val="subscript"/>
        </w:rPr>
        <w:t>3</w:t>
      </w:r>
      <w:r w:rsidRPr="00B60938">
        <w:t xml:space="preserve"> (147 mg, 1.06 mmol) in water (13 mL), and the resulting reaction mixture was kept at 90 °C for 20 h. The resulting suspension was filtered. The filtrate was evaporated under vacuum and the </w:t>
      </w:r>
      <w:r w:rsidRPr="00B60938">
        <w:lastRenderedPageBreak/>
        <w:t>reaction crude residue was washed three times with hot CHCl</w:t>
      </w:r>
      <w:r w:rsidRPr="00B60938">
        <w:rPr>
          <w:vertAlign w:val="subscript"/>
        </w:rPr>
        <w:t>3</w:t>
      </w:r>
      <w:r w:rsidRPr="00B60938">
        <w:t xml:space="preserve">. The white solid recovered from chloroform by decantation, was dissolved in water (3 mL). The obtained solution was acidified to pH = 1 with 4 N HCl and kept overnight at 5 °C. Crystals of </w:t>
      </w:r>
      <w:r w:rsidRPr="00B60938">
        <w:rPr>
          <w:b/>
        </w:rPr>
        <w:t>23</w:t>
      </w:r>
      <w:r w:rsidRPr="00B60938">
        <w:t xml:space="preserve"> were isolated by filtration and washed with water (5 mL). Yield: 63 mg (41%).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1.59 (d, 3H, </w:t>
      </w:r>
      <w:r w:rsidRPr="00B60938">
        <w:rPr>
          <w:i/>
          <w:lang w:val="pt-BR"/>
        </w:rPr>
        <w:t>J</w:t>
      </w:r>
      <w:r w:rsidRPr="00B60938">
        <w:rPr>
          <w:lang w:val="pt-BR"/>
        </w:rPr>
        <w:t xml:space="preserve"> = 6.9 Hz), 4.57-4.66 (m, 1H), 7.58-7.61 (m, 1H), 7.68 (d, 1H, </w:t>
      </w:r>
      <w:r w:rsidRPr="00B60938">
        <w:rPr>
          <w:i/>
          <w:lang w:val="pt-BR"/>
        </w:rPr>
        <w:t>J</w:t>
      </w:r>
      <w:r w:rsidRPr="00B60938">
        <w:rPr>
          <w:lang w:val="pt-BR"/>
        </w:rPr>
        <w:t xml:space="preserve"> = 8.3 Hz), 7.80-7.83 (m, 1H), 8.05 (d, 1H, </w:t>
      </w:r>
      <w:r w:rsidRPr="00B60938">
        <w:rPr>
          <w:i/>
          <w:lang w:val="pt-BR"/>
        </w:rPr>
        <w:t>J</w:t>
      </w:r>
      <w:r w:rsidRPr="00B60938">
        <w:rPr>
          <w:lang w:val="pt-BR"/>
        </w:rPr>
        <w:t xml:space="preserve"> = 7.8 Hz), 8.33 (s, 1H). </w:t>
      </w:r>
      <w:r w:rsidRPr="00B60938">
        <w:rPr>
          <w:vertAlign w:val="superscript"/>
          <w:lang w:val="pt-BR" w:eastAsia="it-IT"/>
        </w:rPr>
        <w:t>31</w:t>
      </w:r>
      <w:r w:rsidRPr="00B60938">
        <w:rPr>
          <w:lang w:val="pt-BR" w:eastAsia="it-IT"/>
        </w:rPr>
        <w:t>P NMR (</w:t>
      </w:r>
      <w:r w:rsidRPr="00B60938">
        <w:rPr>
          <w:lang w:val="pt-BR"/>
        </w:rPr>
        <w:t>202 MHz, D</w:t>
      </w:r>
      <w:r w:rsidRPr="00B60938">
        <w:rPr>
          <w:vertAlign w:val="subscript"/>
          <w:lang w:val="pt-BR"/>
        </w:rPr>
        <w:t>2</w:t>
      </w:r>
      <w:r w:rsidRPr="00B60938">
        <w:rPr>
          <w:lang w:val="pt-BR"/>
        </w:rPr>
        <w:t xml:space="preserve">O/NaOD,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 xml:space="preserve">16.15 (d, 1P, </w:t>
      </w:r>
      <w:r w:rsidRPr="00B60938">
        <w:rPr>
          <w:i/>
          <w:lang w:val="pt-BR" w:eastAsia="it-IT"/>
        </w:rPr>
        <w:t>J</w:t>
      </w:r>
      <w:r w:rsidRPr="00B60938">
        <w:rPr>
          <w:vertAlign w:val="subscript"/>
          <w:lang w:val="pt-BR" w:eastAsia="it-IT"/>
        </w:rPr>
        <w:t>PP</w:t>
      </w:r>
      <w:r w:rsidRPr="00B60938">
        <w:rPr>
          <w:lang w:val="pt-BR" w:eastAsia="it-IT"/>
        </w:rPr>
        <w:t xml:space="preserve"> = 21 Hz), 17.32 (d, 1P, </w:t>
      </w:r>
      <w:r w:rsidRPr="00B60938">
        <w:rPr>
          <w:i/>
          <w:lang w:val="pt-BR" w:eastAsia="it-IT"/>
        </w:rPr>
        <w:t>J</w:t>
      </w:r>
      <w:r w:rsidRPr="00B60938">
        <w:rPr>
          <w:vertAlign w:val="subscript"/>
          <w:lang w:val="pt-BR" w:eastAsia="it-IT"/>
        </w:rPr>
        <w:t>PP</w:t>
      </w:r>
      <w:r w:rsidRPr="00B60938">
        <w:rPr>
          <w:lang w:val="pt-BR" w:eastAsia="it-IT"/>
        </w:rPr>
        <w:t xml:space="preserve"> = 21 Hz).</w:t>
      </w:r>
    </w:p>
    <w:p w14:paraId="204B3FEE" w14:textId="3DDC3781" w:rsidR="00303C47" w:rsidRPr="00B60938" w:rsidRDefault="00303C47">
      <w:pPr>
        <w:pStyle w:val="TAMainText"/>
        <w:rPr>
          <w:b/>
          <w:lang w:val="pt-BR"/>
        </w:rPr>
      </w:pPr>
      <w:r w:rsidRPr="00B60938">
        <w:rPr>
          <w:b/>
          <w:lang w:val="pt-BR"/>
        </w:rPr>
        <w:t>[1-Hydroxy-2-((2-phenylquinazolin-4-yl)amino)ethane-1,1-diyl]bis(phosphonic acid) (24).</w:t>
      </w:r>
      <w:bookmarkStart w:id="25" w:name="_Hlk478136088"/>
      <w:r w:rsidRPr="00B60938">
        <w:rPr>
          <w:b/>
          <w:lang w:val="pt-BR"/>
        </w:rPr>
        <w:t xml:space="preserve"> </w:t>
      </w:r>
      <w:r w:rsidRPr="00B60938">
        <w:rPr>
          <w:lang w:val="pt-BR"/>
        </w:rPr>
        <w:t>In a sealed round bottom flask, 4-chlor</w:t>
      </w:r>
      <w:r w:rsidRPr="00B60938">
        <w:t xml:space="preserve">o-2-phenylquinazoline (173 mg, 0.72 mmol) was added to a solution of </w:t>
      </w:r>
      <w:r w:rsidR="00894E68" w:rsidRPr="00B60938">
        <w:rPr>
          <w:rFonts w:eastAsia="Arial-BoldMT"/>
          <w:b/>
          <w:lang w:eastAsia="it-IT"/>
        </w:rPr>
        <w:t>7</w:t>
      </w:r>
      <w:r w:rsidR="00894E68" w:rsidRPr="00B60938">
        <w:t xml:space="preserve"> </w:t>
      </w:r>
      <w:r w:rsidRPr="00B60938">
        <w:t>(80 mg, 0.36 mmol) and K</w:t>
      </w:r>
      <w:r w:rsidRPr="00B60938">
        <w:rPr>
          <w:vertAlign w:val="subscript"/>
        </w:rPr>
        <w:t>2</w:t>
      </w:r>
      <w:r w:rsidRPr="00B60938">
        <w:t>CO</w:t>
      </w:r>
      <w:r w:rsidRPr="00B60938">
        <w:rPr>
          <w:vertAlign w:val="subscript"/>
        </w:rPr>
        <w:t>3</w:t>
      </w:r>
      <w:r w:rsidRPr="00B60938">
        <w:t xml:space="preserve"> (149 mg, 1.08 mmol) in water (2 mL). The resulting reaction mixture was kept at 180 °C for 22 h and then filtered. The filtrate was concentrated under vacuum and the reaction crude residue was washed with CHCl</w:t>
      </w:r>
      <w:r w:rsidRPr="00B60938">
        <w:rPr>
          <w:vertAlign w:val="subscript"/>
        </w:rPr>
        <w:t xml:space="preserve">3 </w:t>
      </w:r>
      <w:r w:rsidRPr="00B60938">
        <w:t xml:space="preserve">(3 x 20 mL). The solvent was removed by decantation, obtaining a solid that was dissolved in water (5 mL). The solution was acidified to pH = 1 with 4 N HCl, affording white crystals of </w:t>
      </w:r>
      <w:r w:rsidRPr="00B60938">
        <w:rPr>
          <w:b/>
        </w:rPr>
        <w:t>24</w:t>
      </w:r>
      <w:r w:rsidRPr="00B60938">
        <w:t xml:space="preserve"> that were isolated by filtration and washed with of 0.4 N HCl (5 mL). Yield: 40 mg (26%). </w:t>
      </w:r>
      <w:r w:rsidRPr="00B60938">
        <w:rPr>
          <w:vertAlign w:val="superscript"/>
        </w:rPr>
        <w:t>1</w:t>
      </w:r>
      <w:r w:rsidRPr="00B60938">
        <w:t>H NMR (500 MHz, D</w:t>
      </w:r>
      <w:r w:rsidRPr="00B60938">
        <w:rPr>
          <w:vertAlign w:val="subscript"/>
        </w:rPr>
        <w:t>2</w:t>
      </w:r>
      <w:r w:rsidRPr="00B60938">
        <w:t>O/NaOD</w:t>
      </w:r>
      <w:r w:rsidRPr="00B60938">
        <w:rPr>
          <w:lang w:val="pt-BR"/>
        </w:rPr>
        <w:t xml:space="preserve">,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t xml:space="preserve">3.96-4.08 (m, 2H), 7.43-7.45 (m, 4H), 7.62 (m, 1H), </w:t>
      </w:r>
      <w:bookmarkStart w:id="26" w:name="_Hlk477953276"/>
      <w:r w:rsidRPr="00B60938">
        <w:t xml:space="preserve">7.67-7.70 (m, 1H), </w:t>
      </w:r>
      <w:bookmarkEnd w:id="26"/>
      <w:r w:rsidRPr="00B60938">
        <w:t>7.90 (m, 1H), 8.14-8.16 (m, 2H)</w:t>
      </w:r>
      <w:r w:rsidRPr="00B60938">
        <w:rPr>
          <w:lang w:val="pt-BR"/>
        </w:rPr>
        <w:t xml:space="preserve">. </w:t>
      </w:r>
      <w:r w:rsidRPr="00B60938">
        <w:rPr>
          <w:vertAlign w:val="superscript"/>
          <w:lang w:val="pt-BR" w:eastAsia="it-IT"/>
        </w:rPr>
        <w:t>31</w:t>
      </w:r>
      <w:r w:rsidRPr="00B60938">
        <w:rPr>
          <w:lang w:val="pt-BR" w:eastAsia="it-IT"/>
        </w:rPr>
        <w:t>P NMR (</w:t>
      </w:r>
      <w:r w:rsidRPr="00B60938">
        <w:rPr>
          <w:lang w:val="pt-BR"/>
        </w:rPr>
        <w:t>202 MHz, D</w:t>
      </w:r>
      <w:r w:rsidRPr="00B60938">
        <w:rPr>
          <w:vertAlign w:val="subscript"/>
          <w:lang w:val="pt-BR"/>
        </w:rPr>
        <w:t>2</w:t>
      </w:r>
      <w:r w:rsidRPr="00B60938">
        <w:rPr>
          <w:lang w:val="pt-BR"/>
        </w:rPr>
        <w:t xml:space="preserve">O/NaOD, </w:t>
      </w:r>
      <w:r w:rsidRPr="00B60938">
        <w:rPr>
          <w:rFonts w:ascii="Symbol" w:hAnsi="Symbol"/>
          <w:lang w:val="pt-BR"/>
        </w:rPr>
        <w:t></w:t>
      </w:r>
      <w:r w:rsidRPr="00B60938">
        <w:rPr>
          <w:rFonts w:ascii="Symbol" w:hAnsi="Symbol"/>
          <w:lang w:val="pt-BR"/>
        </w:rPr>
        <w:t></w:t>
      </w:r>
      <w:r w:rsidRPr="00B60938">
        <w:rPr>
          <w:rFonts w:ascii="Symbol" w:hAnsi="Symbol"/>
          <w:lang w:val="pt-BR"/>
        </w:rPr>
        <w:t></w:t>
      </w:r>
      <w:r w:rsidRPr="00B60938">
        <w:rPr>
          <w:lang w:val="pt-BR"/>
        </w:rPr>
        <w:t xml:space="preserve"> </w:t>
      </w:r>
      <w:r w:rsidRPr="00B60938">
        <w:rPr>
          <w:lang w:val="pt-BR" w:eastAsia="it-IT"/>
        </w:rPr>
        <w:t>17.1 (s, 2P).</w:t>
      </w:r>
    </w:p>
    <w:p w14:paraId="01E04FED" w14:textId="7C1EF0A3" w:rsidR="00303C47" w:rsidRPr="00B60938" w:rsidRDefault="00303C47">
      <w:pPr>
        <w:pStyle w:val="TAMainText"/>
        <w:rPr>
          <w:lang w:val="pt-BR" w:eastAsia="it-IT"/>
        </w:rPr>
      </w:pPr>
      <w:bookmarkStart w:id="27" w:name="_Hlk477952700"/>
      <w:bookmarkEnd w:id="25"/>
      <w:r w:rsidRPr="00B60938">
        <w:rPr>
          <w:b/>
          <w:lang w:val="pt-BR"/>
        </w:rPr>
        <w:t xml:space="preserve">[1-Hydroxy-3-((2-phenylquinazolin-4-yl)amino)propane-1,1-diyl]bis(phosphonic acid) (25). </w:t>
      </w:r>
      <w:r w:rsidRPr="00B60938">
        <w:t xml:space="preserve">In a sealed round bottom flask, 4-chloro-2-phenylquinazoline (164 mg, 0.68 mmol) was added to a solution of </w:t>
      </w:r>
      <w:r w:rsidR="001A1AB4" w:rsidRPr="00B60938">
        <w:rPr>
          <w:rFonts w:eastAsia="Arial-BoldMT"/>
          <w:b/>
          <w:lang w:eastAsia="it-IT"/>
        </w:rPr>
        <w:t>3</w:t>
      </w:r>
      <w:r w:rsidR="001A1AB4" w:rsidRPr="00B60938">
        <w:t xml:space="preserve"> </w:t>
      </w:r>
      <w:r w:rsidRPr="00B60938">
        <w:t>(pamidronic acid, 80 mg, 0.34 mmol) and K</w:t>
      </w:r>
      <w:r w:rsidRPr="00B60938">
        <w:rPr>
          <w:vertAlign w:val="subscript"/>
        </w:rPr>
        <w:t>2</w:t>
      </w:r>
      <w:r w:rsidRPr="00B60938">
        <w:t>CO</w:t>
      </w:r>
      <w:r w:rsidRPr="00B60938">
        <w:rPr>
          <w:vertAlign w:val="subscript"/>
        </w:rPr>
        <w:t>3</w:t>
      </w:r>
      <w:r w:rsidRPr="00B60938">
        <w:t xml:space="preserve"> (141 mg, 1.02 mmol) in water (2 mL). The resulting reaction mixture was kept at 180 °C for 20 h and then filtered. The filtrate was evaporated under vacuum and the reaction crude residue was washed with CHCl</w:t>
      </w:r>
      <w:r w:rsidRPr="00B60938">
        <w:rPr>
          <w:vertAlign w:val="subscript"/>
        </w:rPr>
        <w:t xml:space="preserve">3 </w:t>
      </w:r>
      <w:r w:rsidRPr="00B60938">
        <w:t xml:space="preserve">(3 x 20 mL). The solid, obtained from chloroform by decantation, was dissolved in water (3 mL). The solution was acidified to pH = 1 with 4 N HCl, obtaining white crystals of </w:t>
      </w:r>
      <w:r w:rsidRPr="00B60938">
        <w:rPr>
          <w:b/>
        </w:rPr>
        <w:t>25</w:t>
      </w:r>
      <w:r w:rsidRPr="00B60938">
        <w:t xml:space="preserve"> that were filtered and washed with of 0.4 N HCl (5 mL). Yield: 68 mg (46%). </w:t>
      </w:r>
      <w:r w:rsidRPr="00B60938">
        <w:rPr>
          <w:vertAlign w:val="superscript"/>
        </w:rPr>
        <w:t>1</w:t>
      </w:r>
      <w:r w:rsidRPr="00B60938">
        <w:t>H NMR (500 MHz, D</w:t>
      </w:r>
      <w:r w:rsidRPr="00B60938">
        <w:rPr>
          <w:vertAlign w:val="subscript"/>
        </w:rPr>
        <w:t>2</w:t>
      </w:r>
      <w:r w:rsidRPr="00B60938">
        <w:t xml:space="preserve">O/NaOD, </w:t>
      </w:r>
      <w:r w:rsidRPr="00B60938">
        <w:rPr>
          <w:rFonts w:cs="Times"/>
        </w:rPr>
        <w:t>δ):</w:t>
      </w:r>
      <w:r w:rsidRPr="00B60938">
        <w:t xml:space="preserve"> 2.24-2.29 (m, 2H), </w:t>
      </w:r>
      <w:r w:rsidRPr="00B60938">
        <w:lastRenderedPageBreak/>
        <w:t>3.89-3.91 (m, 2H), 7.37-7.44 (m, 4H), 7.57-7.59 (m, 1H), 7.64-7.67 (m, 1H), 8.03-8.09 (m, 3H)</w:t>
      </w:r>
      <w:r w:rsidRPr="00B60938">
        <w:rPr>
          <w:lang w:val="pt-BR"/>
        </w:rPr>
        <w:t xml:space="preserve">. </w:t>
      </w:r>
      <w:r w:rsidRPr="00B60938">
        <w:rPr>
          <w:vertAlign w:val="superscript"/>
          <w:lang w:val="pt-BR" w:eastAsia="it-IT"/>
        </w:rPr>
        <w:t>31</w:t>
      </w:r>
      <w:r w:rsidRPr="00B60938">
        <w:rPr>
          <w:lang w:val="pt-BR" w:eastAsia="it-IT"/>
        </w:rPr>
        <w:t>P NMR (</w:t>
      </w:r>
      <w:r w:rsidRPr="00B60938">
        <w:t>202 MHz, D</w:t>
      </w:r>
      <w:r w:rsidRPr="00B60938">
        <w:rPr>
          <w:vertAlign w:val="subscript"/>
        </w:rPr>
        <w:t>2</w:t>
      </w:r>
      <w:r w:rsidRPr="00B60938">
        <w:t xml:space="preserve">O/NaOD, </w:t>
      </w:r>
      <w:r w:rsidRPr="00B60938">
        <w:rPr>
          <w:rFonts w:cs="Times"/>
        </w:rPr>
        <w:t>δ):</w:t>
      </w:r>
      <w:r w:rsidRPr="00B60938">
        <w:t xml:space="preserve"> </w:t>
      </w:r>
      <w:r w:rsidRPr="00B60938">
        <w:rPr>
          <w:lang w:val="pt-BR" w:eastAsia="it-IT"/>
        </w:rPr>
        <w:t>18.63 (s, 2P)</w:t>
      </w:r>
      <w:bookmarkEnd w:id="27"/>
      <w:r w:rsidRPr="00B60938">
        <w:rPr>
          <w:lang w:val="pt-BR" w:eastAsia="it-IT"/>
        </w:rPr>
        <w:t>.</w:t>
      </w:r>
    </w:p>
    <w:p w14:paraId="1566EEFF" w14:textId="5070E5AB" w:rsidR="00303C47" w:rsidRPr="00B60938" w:rsidRDefault="0099555C">
      <w:pPr>
        <w:pStyle w:val="TAMainText"/>
        <w:outlineLvl w:val="0"/>
        <w:rPr>
          <w:rFonts w:eastAsia="Arial-BoldMT"/>
          <w:b/>
        </w:rPr>
      </w:pPr>
      <w:r w:rsidRPr="00B60938">
        <w:rPr>
          <w:rFonts w:eastAsia="Arial-BoldMT"/>
          <w:b/>
        </w:rPr>
        <w:t>3</w:t>
      </w:r>
      <w:r w:rsidR="00303C47" w:rsidRPr="00B60938">
        <w:rPr>
          <w:rFonts w:eastAsia="Arial-BoldMT"/>
          <w:b/>
        </w:rPr>
        <w:t>.</w:t>
      </w:r>
      <w:r w:rsidRPr="00B60938">
        <w:rPr>
          <w:rFonts w:eastAsia="Arial-BoldMT"/>
          <w:b/>
        </w:rPr>
        <w:t xml:space="preserve">1.3 </w:t>
      </w:r>
      <w:r w:rsidR="00303C47" w:rsidRPr="00B60938">
        <w:rPr>
          <w:b/>
        </w:rPr>
        <w:t>Procedures for E</w:t>
      </w:r>
      <w:r w:rsidR="00303C47" w:rsidRPr="00B60938">
        <w:rPr>
          <w:b/>
          <w:vertAlign w:val="subscript"/>
        </w:rPr>
        <w:t>1</w:t>
      </w:r>
      <w:r w:rsidR="00303C47" w:rsidRPr="00B60938">
        <w:rPr>
          <w:b/>
        </w:rPr>
        <w:t>- E</w:t>
      </w:r>
      <w:r w:rsidR="00303C47" w:rsidRPr="00B60938">
        <w:rPr>
          <w:b/>
          <w:vertAlign w:val="subscript"/>
        </w:rPr>
        <w:t xml:space="preserve">4, </w:t>
      </w:r>
      <w:r w:rsidR="00303C47" w:rsidRPr="00B60938">
        <w:rPr>
          <w:rFonts w:eastAsia="Arial-BoldMT"/>
          <w:b/>
        </w:rPr>
        <w:t>26</w:t>
      </w:r>
      <w:r w:rsidR="00303C47" w:rsidRPr="00B60938">
        <w:rPr>
          <w:rFonts w:eastAsia="Arial-BoldMT"/>
        </w:rPr>
        <w:t>-</w:t>
      </w:r>
      <w:r w:rsidR="00303C47" w:rsidRPr="00B60938">
        <w:rPr>
          <w:rFonts w:eastAsia="Arial-BoldMT"/>
          <w:b/>
        </w:rPr>
        <w:t>28 synthesis.</w:t>
      </w:r>
    </w:p>
    <w:p w14:paraId="28EB7373" w14:textId="77777777" w:rsidR="00303C47" w:rsidRPr="00B60938" w:rsidRDefault="00303C47" w:rsidP="00CB7B52">
      <w:pPr>
        <w:spacing w:line="480" w:lineRule="auto"/>
        <w:jc w:val="both"/>
      </w:pPr>
      <w:r w:rsidRPr="00B60938">
        <w:rPr>
          <w:rFonts w:eastAsia="Arial-BoldMT"/>
          <w:bCs/>
        </w:rPr>
        <w:t>The benzoimidazole (</w:t>
      </w:r>
      <w:r w:rsidRPr="00B60938">
        <w:rPr>
          <w:rFonts w:eastAsia="Arial-BoldMT"/>
          <w:b/>
          <w:bCs/>
        </w:rPr>
        <w:t>26</w:t>
      </w:r>
      <w:r w:rsidRPr="00B60938">
        <w:rPr>
          <w:rFonts w:eastAsia="Arial-BoldMT"/>
          <w:bCs/>
        </w:rPr>
        <w:t>) and the benzothiazole (</w:t>
      </w:r>
      <w:r w:rsidRPr="00B60938">
        <w:rPr>
          <w:rFonts w:eastAsia="Arial-BoldMT"/>
          <w:b/>
          <w:bCs/>
        </w:rPr>
        <w:t>27</w:t>
      </w:r>
      <w:r w:rsidRPr="00B60938">
        <w:rPr>
          <w:rFonts w:eastAsia="Arial-BoldMT"/>
          <w:bCs/>
        </w:rPr>
        <w:t xml:space="preserve"> and </w:t>
      </w:r>
      <w:r w:rsidRPr="00B60938">
        <w:rPr>
          <w:rFonts w:eastAsia="Arial-BoldMT"/>
          <w:b/>
          <w:bCs/>
        </w:rPr>
        <w:t>28</w:t>
      </w:r>
      <w:r w:rsidRPr="00B60938">
        <w:rPr>
          <w:rFonts w:eastAsia="Arial-BoldMT"/>
          <w:bCs/>
        </w:rPr>
        <w:t xml:space="preserve">) bisphosphonic acid were synthesized starting from the corresponding acid </w:t>
      </w:r>
      <w:r w:rsidRPr="00B60938">
        <w:rPr>
          <w:b/>
        </w:rPr>
        <w:t>E</w:t>
      </w:r>
      <w:r w:rsidRPr="00B60938">
        <w:rPr>
          <w:b/>
          <w:vertAlign w:val="subscript"/>
        </w:rPr>
        <w:t>1</w:t>
      </w:r>
      <w:r w:rsidRPr="00B60938">
        <w:rPr>
          <w:rFonts w:eastAsia="Arial-BoldMT"/>
          <w:bCs/>
        </w:rPr>
        <w:t>,</w:t>
      </w:r>
      <w:r w:rsidRPr="00B60938">
        <w:rPr>
          <w:rFonts w:eastAsia="Arial-BoldMT"/>
          <w:b/>
          <w:bCs/>
        </w:rPr>
        <w:t xml:space="preserve"> </w:t>
      </w:r>
      <w:r w:rsidRPr="00B60938">
        <w:rPr>
          <w:b/>
        </w:rPr>
        <w:t>E</w:t>
      </w:r>
      <w:r w:rsidRPr="00B60938">
        <w:rPr>
          <w:b/>
          <w:vertAlign w:val="subscript"/>
        </w:rPr>
        <w:t>3</w:t>
      </w:r>
      <w:r w:rsidRPr="00B60938">
        <w:rPr>
          <w:rFonts w:eastAsia="Arial-BoldMT"/>
          <w:b/>
          <w:bCs/>
        </w:rPr>
        <w:t xml:space="preserve"> </w:t>
      </w:r>
      <w:r w:rsidRPr="00B60938">
        <w:rPr>
          <w:rFonts w:eastAsia="Arial-BoldMT"/>
          <w:bCs/>
        </w:rPr>
        <w:t>and</w:t>
      </w:r>
      <w:r w:rsidRPr="00B60938">
        <w:rPr>
          <w:rFonts w:eastAsia="Arial-BoldMT"/>
          <w:b/>
          <w:bCs/>
        </w:rPr>
        <w:t xml:space="preserve"> </w:t>
      </w:r>
      <w:r w:rsidRPr="00B60938">
        <w:rPr>
          <w:b/>
        </w:rPr>
        <w:t>E</w:t>
      </w:r>
      <w:r w:rsidRPr="00B60938">
        <w:rPr>
          <w:b/>
          <w:vertAlign w:val="subscript"/>
        </w:rPr>
        <w:t>4</w:t>
      </w:r>
      <w:r w:rsidRPr="00B60938">
        <w:rPr>
          <w:rFonts w:eastAsia="Arial-BoldMT"/>
          <w:bCs/>
        </w:rPr>
        <w:t xml:space="preserve"> by the </w:t>
      </w:r>
      <w:r w:rsidRPr="00B60938">
        <w:t>Michaelis−Arbuzov’s reaction</w:t>
      </w:r>
      <w:r w:rsidRPr="00B60938">
        <w:rPr>
          <w:rFonts w:eastAsia="Arial-BoldMT"/>
          <w:bCs/>
        </w:rPr>
        <w:t>.</w:t>
      </w:r>
      <w:r w:rsidRPr="00B60938">
        <w:rPr>
          <w:rStyle w:val="Rimandonotadichiusura"/>
          <w:rFonts w:eastAsia="Arial-BoldMT"/>
          <w:bCs/>
        </w:rPr>
        <w:t>42</w:t>
      </w:r>
      <w:r w:rsidRPr="00B60938">
        <w:rPr>
          <w:rFonts w:eastAsia="Arial-BoldMT"/>
          <w:bCs/>
        </w:rPr>
        <w:t xml:space="preserve"> In particular, </w:t>
      </w:r>
      <w:r w:rsidRPr="00B60938">
        <w:rPr>
          <w:b/>
        </w:rPr>
        <w:t>E</w:t>
      </w:r>
      <w:r w:rsidRPr="00B60938">
        <w:rPr>
          <w:b/>
          <w:vertAlign w:val="subscript"/>
        </w:rPr>
        <w:t>1</w:t>
      </w:r>
      <w:r w:rsidRPr="00B60938">
        <w:rPr>
          <w:rFonts w:eastAsia="Arial-BoldMT"/>
          <w:bCs/>
        </w:rPr>
        <w:t xml:space="preserve"> and </w:t>
      </w:r>
      <w:r w:rsidRPr="00B60938">
        <w:rPr>
          <w:b/>
        </w:rPr>
        <w:t>E</w:t>
      </w:r>
      <w:r w:rsidRPr="00B60938">
        <w:rPr>
          <w:b/>
          <w:vertAlign w:val="subscript"/>
        </w:rPr>
        <w:t>2</w:t>
      </w:r>
      <w:r w:rsidRPr="00B60938">
        <w:rPr>
          <w:rFonts w:eastAsia="Arial-BoldMT"/>
          <w:bCs/>
        </w:rPr>
        <w:t xml:space="preserve"> were synthesized from the commercial available 2-mercaptobenzimidazole (</w:t>
      </w:r>
      <w:r w:rsidRPr="00B60938">
        <w:rPr>
          <w:b/>
        </w:rPr>
        <w:t>D</w:t>
      </w:r>
      <w:r w:rsidRPr="00B60938">
        <w:rPr>
          <w:b/>
          <w:vertAlign w:val="subscript"/>
        </w:rPr>
        <w:t>1</w:t>
      </w:r>
      <w:r w:rsidRPr="00B60938">
        <w:t>)</w:t>
      </w:r>
      <w:r w:rsidRPr="00B60938">
        <w:rPr>
          <w:rFonts w:eastAsia="Arial-BoldMT"/>
          <w:bCs/>
        </w:rPr>
        <w:t xml:space="preserve"> and </w:t>
      </w:r>
      <w:r w:rsidRPr="00B60938">
        <w:t xml:space="preserve">2-aminobenzothiazole </w:t>
      </w:r>
      <w:r w:rsidRPr="00B60938">
        <w:rPr>
          <w:rFonts w:eastAsia="Arial-BoldMT"/>
          <w:bCs/>
        </w:rPr>
        <w:t>(</w:t>
      </w:r>
      <w:r w:rsidRPr="00B60938">
        <w:rPr>
          <w:b/>
        </w:rPr>
        <w:t>D</w:t>
      </w:r>
      <w:r w:rsidRPr="00B60938">
        <w:rPr>
          <w:b/>
          <w:vertAlign w:val="subscript"/>
        </w:rPr>
        <w:t>2</w:t>
      </w:r>
      <w:r w:rsidRPr="00B60938">
        <w:t xml:space="preserve">) in the presence of bromoacetic acid, instead </w:t>
      </w:r>
      <w:r w:rsidRPr="00B60938">
        <w:rPr>
          <w:b/>
        </w:rPr>
        <w:t>E</w:t>
      </w:r>
      <w:r w:rsidRPr="00B60938">
        <w:rPr>
          <w:b/>
          <w:vertAlign w:val="subscript"/>
        </w:rPr>
        <w:t>3</w:t>
      </w:r>
      <w:r w:rsidRPr="00B60938">
        <w:t xml:space="preserve"> was obtained by hydrolysis of </w:t>
      </w:r>
      <w:r w:rsidRPr="00B60938">
        <w:rPr>
          <w:b/>
        </w:rPr>
        <w:t>E</w:t>
      </w:r>
      <w:r w:rsidRPr="00B60938">
        <w:rPr>
          <w:b/>
          <w:vertAlign w:val="subscript"/>
        </w:rPr>
        <w:t>2</w:t>
      </w:r>
      <w:r w:rsidRPr="00B60938">
        <w:t xml:space="preserve">, previously synthesized from 2-mercaptobenzothiazole </w:t>
      </w:r>
      <w:r w:rsidRPr="00B60938">
        <w:rPr>
          <w:rFonts w:eastAsia="Arial-BoldMT"/>
          <w:bCs/>
        </w:rPr>
        <w:t>(</w:t>
      </w:r>
      <w:r w:rsidRPr="00B60938">
        <w:rPr>
          <w:b/>
        </w:rPr>
        <w:t>D</w:t>
      </w:r>
      <w:r w:rsidRPr="00B60938">
        <w:rPr>
          <w:b/>
          <w:vertAlign w:val="subscript"/>
        </w:rPr>
        <w:t>3</w:t>
      </w:r>
      <w:r w:rsidRPr="00B60938">
        <w:t>), and ethyl-2-bromoacetate (Scheme 2).</w:t>
      </w:r>
    </w:p>
    <w:p w14:paraId="6BB8BFD7" w14:textId="77777777" w:rsidR="00303C47" w:rsidRPr="00B60938" w:rsidRDefault="00303C47" w:rsidP="00E50862">
      <w:pPr>
        <w:pStyle w:val="TAMainText"/>
        <w:rPr>
          <w:b/>
          <w:lang w:val="pt-BR" w:eastAsia="it-IT"/>
        </w:rPr>
      </w:pPr>
      <w:r w:rsidRPr="00B60938">
        <w:rPr>
          <w:b/>
          <w:lang w:val="pt-BR" w:eastAsia="it-IT"/>
        </w:rPr>
        <w:t>2-[(1</w:t>
      </w:r>
      <w:r w:rsidRPr="00B60938">
        <w:rPr>
          <w:b/>
          <w:i/>
          <w:lang w:val="pt-BR" w:eastAsia="it-IT"/>
        </w:rPr>
        <w:t>H</w:t>
      </w:r>
      <w:r w:rsidRPr="00B60938">
        <w:rPr>
          <w:b/>
          <w:lang w:val="pt-BR" w:eastAsia="it-IT"/>
        </w:rPr>
        <w:t>-Benzo[d]imidazol-2-yl)thio]acetic acid (</w:t>
      </w:r>
      <w:r w:rsidRPr="00B60938">
        <w:rPr>
          <w:b/>
          <w:lang w:val="it-IT"/>
        </w:rPr>
        <w:t>E</w:t>
      </w:r>
      <w:r w:rsidRPr="00B60938">
        <w:rPr>
          <w:b/>
          <w:vertAlign w:val="subscript"/>
          <w:lang w:val="it-IT"/>
        </w:rPr>
        <w:t>1</w:t>
      </w:r>
      <w:r w:rsidRPr="00B60938">
        <w:rPr>
          <w:b/>
          <w:lang w:val="pt-BR" w:eastAsia="it-IT"/>
        </w:rPr>
        <w:t xml:space="preserve">). </w:t>
      </w:r>
      <w:r w:rsidRPr="00B60938">
        <w:rPr>
          <w:lang w:eastAsia="it-IT"/>
        </w:rPr>
        <w:t xml:space="preserve">A solution of bromoacetic acid (1.39 g, 10 mmol) in ethanol (15 mL) was dropwise added to a solution of </w:t>
      </w:r>
      <w:r w:rsidRPr="00B60938">
        <w:rPr>
          <w:b/>
        </w:rPr>
        <w:t>D</w:t>
      </w:r>
      <w:r w:rsidRPr="00B60938">
        <w:rPr>
          <w:b/>
          <w:vertAlign w:val="subscript"/>
        </w:rPr>
        <w:t>1</w:t>
      </w:r>
      <w:r w:rsidRPr="00B60938">
        <w:rPr>
          <w:lang w:eastAsia="it-IT"/>
        </w:rPr>
        <w:t xml:space="preserve"> (751 mg, 5 mmol) in ethanol (15 mL). Then, 2 M KOH (30 mL) was added and the reaction mixture was stirred for 3 h at room temperature. The reaction progress was monitored by TLC </w:t>
      </w:r>
      <w:bookmarkStart w:id="28" w:name="_Hlk486354321"/>
      <w:r w:rsidRPr="00B60938">
        <w:rPr>
          <w:lang w:eastAsia="it-IT"/>
        </w:rPr>
        <w:t>(CHCl</w:t>
      </w:r>
      <w:r w:rsidRPr="00B60938">
        <w:rPr>
          <w:vertAlign w:val="subscript"/>
          <w:lang w:eastAsia="it-IT"/>
        </w:rPr>
        <w:t>3</w:t>
      </w:r>
      <w:r w:rsidRPr="00B60938">
        <w:rPr>
          <w:lang w:eastAsia="it-IT"/>
        </w:rPr>
        <w:t>/MeOH = 8:2)</w:t>
      </w:r>
      <w:bookmarkEnd w:id="28"/>
      <w:r w:rsidRPr="00B60938">
        <w:rPr>
          <w:lang w:eastAsia="it-IT"/>
        </w:rPr>
        <w:t xml:space="preserve">. Water and 6 N HCl were added till pH acid to obtain the precipitation of the product </w:t>
      </w:r>
      <w:r w:rsidRPr="00B60938">
        <w:rPr>
          <w:b/>
          <w:lang w:eastAsia="it-IT"/>
        </w:rPr>
        <w:t>E</w:t>
      </w:r>
      <w:r w:rsidRPr="00B60938">
        <w:rPr>
          <w:b/>
          <w:vertAlign w:val="subscript"/>
          <w:lang w:eastAsia="it-IT"/>
        </w:rPr>
        <w:t>1</w:t>
      </w:r>
      <w:r w:rsidRPr="00B60938">
        <w:rPr>
          <w:lang w:eastAsia="it-IT"/>
        </w:rPr>
        <w:t xml:space="preserve"> that was separated by filtration (427 mg, 2.05 mmol). Yield: 41%. </w:t>
      </w:r>
      <w:r w:rsidRPr="00B60938">
        <w:rPr>
          <w:vertAlign w:val="superscript"/>
          <w:lang w:eastAsia="it-IT"/>
        </w:rPr>
        <w:t>1</w:t>
      </w:r>
      <w:r w:rsidRPr="00B60938">
        <w:rPr>
          <w:lang w:eastAsia="it-IT"/>
        </w:rPr>
        <w:t>H NMR (500 MHz, DMSO-d</w:t>
      </w:r>
      <w:r w:rsidRPr="00B60938">
        <w:rPr>
          <w:vertAlign w:val="subscript"/>
          <w:lang w:eastAsia="it-IT"/>
        </w:rPr>
        <w:t>6</w:t>
      </w:r>
      <w:r w:rsidRPr="00B60938">
        <w:t xml:space="preserve">, </w:t>
      </w:r>
      <w:r w:rsidRPr="00B60938">
        <w:rPr>
          <w:rFonts w:cs="Times"/>
        </w:rPr>
        <w:t>δ):</w:t>
      </w:r>
      <w:r w:rsidRPr="00B60938">
        <w:t xml:space="preserve"> </w:t>
      </w:r>
      <w:r w:rsidRPr="00B60938">
        <w:rPr>
          <w:lang w:eastAsia="it-IT"/>
        </w:rPr>
        <w:t xml:space="preserve">4.23 (s, 2H), 7.20-7.22 (m, 2H), 7.48-7.50 (m, 2H). GC-MS (70 eV) </w:t>
      </w:r>
      <w:r w:rsidRPr="00B60938">
        <w:rPr>
          <w:i/>
          <w:lang w:eastAsia="it-IT"/>
        </w:rPr>
        <w:t>m/z</w:t>
      </w:r>
      <w:r w:rsidRPr="00B60938">
        <w:rPr>
          <w:lang w:eastAsia="it-IT"/>
        </w:rPr>
        <w:t xml:space="preserve"> (rel. int.) = 190 (100), 162 (80). </w:t>
      </w:r>
    </w:p>
    <w:p w14:paraId="29A49CBC" w14:textId="77777777" w:rsidR="00303C47" w:rsidRPr="00B60938" w:rsidRDefault="00303C47" w:rsidP="00E50862">
      <w:pPr>
        <w:pStyle w:val="TAMainText"/>
        <w:rPr>
          <w:b/>
          <w:lang w:val="pt-BR" w:eastAsia="it-IT"/>
        </w:rPr>
      </w:pPr>
      <w:r w:rsidRPr="00B60938">
        <w:rPr>
          <w:b/>
          <w:lang w:val="pt-BR" w:eastAsia="it-IT"/>
        </w:rPr>
        <w:t>Ethyl benzo[</w:t>
      </w:r>
      <w:r w:rsidRPr="00B60938">
        <w:rPr>
          <w:b/>
          <w:i/>
          <w:lang w:val="pt-BR" w:eastAsia="it-IT"/>
        </w:rPr>
        <w:t>d</w:t>
      </w:r>
      <w:r w:rsidRPr="00B60938">
        <w:rPr>
          <w:b/>
          <w:lang w:val="pt-BR" w:eastAsia="it-IT"/>
        </w:rPr>
        <w:t>]thiazol-2-ylglycinate (E</w:t>
      </w:r>
      <w:r w:rsidRPr="00B60938">
        <w:rPr>
          <w:b/>
          <w:vertAlign w:val="subscript"/>
          <w:lang w:val="pt-BR" w:eastAsia="it-IT"/>
        </w:rPr>
        <w:t>2</w:t>
      </w:r>
      <w:r w:rsidRPr="00B60938">
        <w:rPr>
          <w:b/>
          <w:lang w:val="pt-BR" w:eastAsia="it-IT"/>
        </w:rPr>
        <w:t xml:space="preserve">). </w:t>
      </w:r>
      <w:r w:rsidRPr="00B60938">
        <w:rPr>
          <w:b/>
        </w:rPr>
        <w:t>D</w:t>
      </w:r>
      <w:r w:rsidRPr="00B60938">
        <w:rPr>
          <w:b/>
          <w:vertAlign w:val="subscript"/>
        </w:rPr>
        <w:t>2</w:t>
      </w:r>
      <w:r w:rsidRPr="00B60938">
        <w:rPr>
          <w:lang w:eastAsia="it-IT"/>
        </w:rPr>
        <w:t xml:space="preserve"> (750 mg, 5 mmol) and ethyl bromoacetate (554 µL, 5 mmol) were dissolved in acetone (15 mL). Potassium carbonate (2.073 g, 15 mmol) was added to the solution and the reaction mixture was refluxed overnight at room temperature. After TLC control (CHCl</w:t>
      </w:r>
      <w:r w:rsidRPr="00B60938">
        <w:rPr>
          <w:vertAlign w:val="subscript"/>
          <w:lang w:eastAsia="it-IT"/>
        </w:rPr>
        <w:t>3</w:t>
      </w:r>
      <w:r w:rsidRPr="00B60938">
        <w:rPr>
          <w:lang w:eastAsia="it-IT"/>
        </w:rPr>
        <w:t>/MeOH 9:1), the reaction was quenched on ice-crushed and then extracted twice with ethyl acetate. The collected organic layer was dried over Na</w:t>
      </w:r>
      <w:r w:rsidRPr="00B60938">
        <w:rPr>
          <w:vertAlign w:val="subscript"/>
          <w:lang w:eastAsia="it-IT"/>
        </w:rPr>
        <w:t>2</w:t>
      </w:r>
      <w:r w:rsidRPr="00B60938">
        <w:rPr>
          <w:lang w:eastAsia="it-IT"/>
        </w:rPr>
        <w:t>SO</w:t>
      </w:r>
      <w:r w:rsidRPr="00B60938">
        <w:rPr>
          <w:vertAlign w:val="subscript"/>
          <w:lang w:eastAsia="it-IT"/>
        </w:rPr>
        <w:t>4</w:t>
      </w:r>
      <w:r w:rsidRPr="00B60938">
        <w:rPr>
          <w:lang w:eastAsia="it-IT"/>
        </w:rPr>
        <w:t xml:space="preserve">, filtered and the solvent distilled under vacuum to obtain </w:t>
      </w:r>
      <w:r w:rsidRPr="00B60938">
        <w:rPr>
          <w:b/>
          <w:lang w:eastAsia="it-IT"/>
        </w:rPr>
        <w:t>E</w:t>
      </w:r>
      <w:r w:rsidRPr="00B60938">
        <w:rPr>
          <w:b/>
          <w:vertAlign w:val="subscript"/>
          <w:lang w:eastAsia="it-IT"/>
        </w:rPr>
        <w:t>2</w:t>
      </w:r>
      <w:r w:rsidRPr="00B60938">
        <w:rPr>
          <w:lang w:eastAsia="it-IT"/>
        </w:rPr>
        <w:t xml:space="preserve"> (892 mg, 3.77 mmol). </w:t>
      </w:r>
      <w:r w:rsidRPr="00B60938">
        <w:rPr>
          <w:lang w:val="pt-BR" w:eastAsia="it-IT"/>
        </w:rPr>
        <w:t xml:space="preserve">Yield: 75%. </w:t>
      </w:r>
      <w:r w:rsidRPr="00B60938">
        <w:rPr>
          <w:vertAlign w:val="superscript"/>
          <w:lang w:val="pt-BR" w:eastAsia="it-IT"/>
        </w:rPr>
        <w:t>1</w:t>
      </w:r>
      <w:r w:rsidRPr="00B60938">
        <w:rPr>
          <w:lang w:val="pt-BR" w:eastAsia="it-IT"/>
        </w:rPr>
        <w:t>H NMR (500 MHz, CDCl</w:t>
      </w:r>
      <w:r w:rsidRPr="00B60938">
        <w:rPr>
          <w:vertAlign w:val="subscript"/>
          <w:lang w:val="pt-BR" w:eastAsia="it-IT"/>
        </w:rPr>
        <w:t>3</w:t>
      </w:r>
      <w:r w:rsidRPr="00B60938">
        <w:t xml:space="preserve">, </w:t>
      </w:r>
      <w:r w:rsidRPr="00B60938">
        <w:rPr>
          <w:rFonts w:cs="Times"/>
        </w:rPr>
        <w:t>δ):</w:t>
      </w:r>
      <w:r w:rsidRPr="00B60938">
        <w:t xml:space="preserve"> </w:t>
      </w:r>
      <w:r w:rsidRPr="00B60938">
        <w:rPr>
          <w:lang w:val="pt-BR" w:eastAsia="it-IT"/>
        </w:rPr>
        <w:t xml:space="preserve">1.29 (t, 3H, </w:t>
      </w:r>
      <w:bookmarkStart w:id="29" w:name="_Hlk486354069"/>
      <w:r w:rsidRPr="00B60938">
        <w:rPr>
          <w:i/>
          <w:lang w:val="pt-BR" w:eastAsia="it-IT"/>
        </w:rPr>
        <w:t>J</w:t>
      </w:r>
      <w:r w:rsidRPr="00B60938">
        <w:rPr>
          <w:lang w:val="pt-BR" w:eastAsia="it-IT"/>
        </w:rPr>
        <w:t xml:space="preserve"> = 7.2</w:t>
      </w:r>
      <w:bookmarkEnd w:id="29"/>
      <w:r w:rsidRPr="00B60938">
        <w:rPr>
          <w:lang w:val="pt-BR" w:eastAsia="it-IT"/>
        </w:rPr>
        <w:t xml:space="preserve"> Hz), 4.24 (q, 2H</w:t>
      </w:r>
      <w:r w:rsidRPr="00B60938">
        <w:rPr>
          <w:i/>
          <w:lang w:val="pt-BR" w:eastAsia="it-IT"/>
        </w:rPr>
        <w:t>, J</w:t>
      </w:r>
      <w:r w:rsidRPr="00B60938">
        <w:rPr>
          <w:lang w:val="pt-BR" w:eastAsia="it-IT"/>
        </w:rPr>
        <w:t xml:space="preserve"> = 7.2 Hz), 4.72 (s, 2H), 6.74-6.75 (m, 1H), 7.03-7.05 (m, 1H), 7.21-7.23 (m, 1H), 7.28-7.29 (m, 1H).</w:t>
      </w:r>
    </w:p>
    <w:p w14:paraId="2B1D9511" w14:textId="77777777" w:rsidR="00303C47" w:rsidRPr="00B60938" w:rsidRDefault="00303C47" w:rsidP="009E4114">
      <w:pPr>
        <w:pStyle w:val="TAMainText"/>
        <w:rPr>
          <w:b/>
          <w:lang w:val="pt-BR" w:eastAsia="it-IT"/>
        </w:rPr>
      </w:pPr>
      <w:r w:rsidRPr="00B60938">
        <w:rPr>
          <w:b/>
          <w:lang w:val="pt-BR" w:eastAsia="it-IT"/>
        </w:rPr>
        <w:t>(Benzo[</w:t>
      </w:r>
      <w:r w:rsidRPr="00B60938">
        <w:rPr>
          <w:b/>
          <w:i/>
          <w:lang w:val="pt-BR" w:eastAsia="it-IT"/>
        </w:rPr>
        <w:t>d</w:t>
      </w:r>
      <w:r w:rsidRPr="00B60938">
        <w:rPr>
          <w:b/>
          <w:lang w:val="pt-BR" w:eastAsia="it-IT"/>
        </w:rPr>
        <w:t>]thiazol-2-ylglycine)acetic acid (E</w:t>
      </w:r>
      <w:r w:rsidRPr="00B60938">
        <w:rPr>
          <w:b/>
          <w:vertAlign w:val="subscript"/>
          <w:lang w:val="pt-BR" w:eastAsia="it-IT"/>
        </w:rPr>
        <w:t>3</w:t>
      </w:r>
      <w:r w:rsidRPr="00B60938">
        <w:rPr>
          <w:b/>
          <w:lang w:val="pt-BR" w:eastAsia="it-IT"/>
        </w:rPr>
        <w:t xml:space="preserve">). </w:t>
      </w:r>
      <w:r w:rsidRPr="00B60938">
        <w:rPr>
          <w:lang w:eastAsia="it-IT"/>
        </w:rPr>
        <w:t xml:space="preserve">Compound </w:t>
      </w:r>
      <w:r w:rsidRPr="00B60938">
        <w:rPr>
          <w:b/>
          <w:lang w:val="pt-BR" w:eastAsia="it-IT"/>
        </w:rPr>
        <w:t>E</w:t>
      </w:r>
      <w:r w:rsidRPr="00B60938">
        <w:rPr>
          <w:b/>
          <w:vertAlign w:val="subscript"/>
          <w:lang w:val="pt-BR" w:eastAsia="it-IT"/>
        </w:rPr>
        <w:t>2</w:t>
      </w:r>
      <w:r w:rsidRPr="00B60938">
        <w:rPr>
          <w:lang w:eastAsia="it-IT"/>
        </w:rPr>
        <w:t xml:space="preserve"> was dissolved in dioxane (6 mL) and diluted with 6 N HCl (6 mL). The reaction was refluxed for 3 hours and after TLC control </w:t>
      </w:r>
      <w:r w:rsidRPr="00B60938">
        <w:rPr>
          <w:lang w:eastAsia="it-IT"/>
        </w:rPr>
        <w:lastRenderedPageBreak/>
        <w:t>(CHCl</w:t>
      </w:r>
      <w:r w:rsidRPr="00B60938">
        <w:rPr>
          <w:vertAlign w:val="subscript"/>
          <w:lang w:eastAsia="it-IT"/>
        </w:rPr>
        <w:t>3</w:t>
      </w:r>
      <w:r w:rsidRPr="00B60938">
        <w:rPr>
          <w:lang w:eastAsia="it-IT"/>
        </w:rPr>
        <w:t xml:space="preserve">/MeOH 8:2) was cooled down to room temperature and the solvent distilled under vacuum to obtain the product </w:t>
      </w:r>
      <w:r w:rsidRPr="00B60938">
        <w:rPr>
          <w:b/>
          <w:lang w:eastAsia="it-IT"/>
        </w:rPr>
        <w:t>E</w:t>
      </w:r>
      <w:r w:rsidRPr="00B60938">
        <w:rPr>
          <w:b/>
          <w:vertAlign w:val="subscript"/>
          <w:lang w:eastAsia="it-IT"/>
        </w:rPr>
        <w:t>2</w:t>
      </w:r>
      <w:r w:rsidRPr="00B60938">
        <w:rPr>
          <w:lang w:eastAsia="it-IT"/>
        </w:rPr>
        <w:t xml:space="preserve"> (410 mg, 1.97 mmol). Yield: 95 %. </w:t>
      </w:r>
      <w:r w:rsidRPr="00B60938">
        <w:rPr>
          <w:vertAlign w:val="superscript"/>
          <w:lang w:eastAsia="it-IT"/>
        </w:rPr>
        <w:t>1</w:t>
      </w:r>
      <w:r w:rsidRPr="00B60938">
        <w:rPr>
          <w:lang w:eastAsia="it-IT"/>
        </w:rPr>
        <w:t>H NMR (500 MHz, CD</w:t>
      </w:r>
      <w:r w:rsidRPr="00B60938">
        <w:rPr>
          <w:vertAlign w:val="subscript"/>
          <w:lang w:eastAsia="it-IT"/>
        </w:rPr>
        <w:t>3</w:t>
      </w:r>
      <w:r w:rsidRPr="00B60938">
        <w:rPr>
          <w:lang w:eastAsia="it-IT"/>
        </w:rPr>
        <w:t>OD</w:t>
      </w:r>
      <w:r w:rsidRPr="00B60938">
        <w:t xml:space="preserve">, </w:t>
      </w:r>
      <w:r w:rsidRPr="00B60938">
        <w:rPr>
          <w:rFonts w:cs="Times"/>
        </w:rPr>
        <w:t>δ):</w:t>
      </w:r>
      <w:r w:rsidRPr="00B60938">
        <w:t xml:space="preserve"> </w:t>
      </w:r>
      <w:r w:rsidRPr="00B60938">
        <w:rPr>
          <w:lang w:eastAsia="it-IT"/>
        </w:rPr>
        <w:t xml:space="preserve">5.16 (s, 2H), 7.47-7.50 (m, 1H), 7.58-7.60 (m, 2H), 7.87-7.90 (m, 1H). </w:t>
      </w:r>
    </w:p>
    <w:p w14:paraId="28EC6C91" w14:textId="77777777" w:rsidR="00303C47" w:rsidRPr="00B60938" w:rsidRDefault="00303C47" w:rsidP="00BA1AC8">
      <w:pPr>
        <w:pStyle w:val="TAMainText"/>
        <w:rPr>
          <w:b/>
          <w:lang w:eastAsia="it-IT"/>
        </w:rPr>
      </w:pPr>
      <w:r w:rsidRPr="00B60938">
        <w:rPr>
          <w:b/>
          <w:lang w:val="it-IT" w:eastAsia="it-IT"/>
        </w:rPr>
        <w:t>2-(Benzo[</w:t>
      </w:r>
      <w:r w:rsidRPr="00B60938">
        <w:rPr>
          <w:b/>
          <w:i/>
          <w:lang w:val="it-IT" w:eastAsia="it-IT"/>
        </w:rPr>
        <w:t>d</w:t>
      </w:r>
      <w:r w:rsidRPr="00B60938">
        <w:rPr>
          <w:b/>
          <w:lang w:val="it-IT" w:eastAsia="it-IT"/>
        </w:rPr>
        <w:t>]thiazol-2-ylthio)acetic acid (</w:t>
      </w:r>
      <w:r w:rsidRPr="00B60938">
        <w:rPr>
          <w:b/>
          <w:lang w:val="pt-BR" w:eastAsia="it-IT"/>
        </w:rPr>
        <w:t>E</w:t>
      </w:r>
      <w:r w:rsidRPr="00B60938">
        <w:rPr>
          <w:b/>
          <w:vertAlign w:val="subscript"/>
          <w:lang w:val="pt-BR" w:eastAsia="it-IT"/>
        </w:rPr>
        <w:t>4</w:t>
      </w:r>
      <w:r w:rsidRPr="00B60938">
        <w:rPr>
          <w:b/>
          <w:lang w:val="it-IT" w:eastAsia="it-IT"/>
        </w:rPr>
        <w:t xml:space="preserve">). </w:t>
      </w:r>
      <w:r w:rsidRPr="00B60938">
        <w:rPr>
          <w:lang w:eastAsia="it-IT"/>
        </w:rPr>
        <w:t xml:space="preserve">Bromoacetic acid (1.390 g, 10 mmol) in ethanol (15 mL) was dropwise added to a solution of </w:t>
      </w:r>
      <w:r w:rsidRPr="00B60938">
        <w:rPr>
          <w:b/>
          <w:lang w:val="pt-BR" w:eastAsia="it-IT"/>
        </w:rPr>
        <w:t>D</w:t>
      </w:r>
      <w:r w:rsidRPr="00B60938">
        <w:rPr>
          <w:b/>
          <w:vertAlign w:val="subscript"/>
          <w:lang w:val="pt-BR" w:eastAsia="it-IT"/>
        </w:rPr>
        <w:t>3</w:t>
      </w:r>
      <w:r w:rsidRPr="00B60938">
        <w:rPr>
          <w:lang w:eastAsia="it-IT"/>
        </w:rPr>
        <w:t xml:space="preserve"> (836 mg, 5 mmol) in ethanol (15 mL). Then, 2 M KOH (30 mL) was added and the reaction mixture was stirred for 3 hours at room temperature. After TLC control (EtOAc/Hexane 5:5), the reaction mixture was diluted with water (60 mL) and acidified with 6 N HCl, affording a solid product </w:t>
      </w:r>
      <w:r w:rsidRPr="00B60938">
        <w:rPr>
          <w:b/>
          <w:lang w:eastAsia="it-IT"/>
        </w:rPr>
        <w:t>E</w:t>
      </w:r>
      <w:r w:rsidRPr="00B60938">
        <w:rPr>
          <w:b/>
          <w:vertAlign w:val="subscript"/>
          <w:lang w:eastAsia="it-IT"/>
        </w:rPr>
        <w:t>4</w:t>
      </w:r>
      <w:r w:rsidRPr="00B60938">
        <w:rPr>
          <w:lang w:eastAsia="it-IT"/>
        </w:rPr>
        <w:t xml:space="preserve"> that was isolated by filtration (1 g, 4.44 mmol). Yield: 89 %. </w:t>
      </w:r>
      <w:r w:rsidRPr="00B60938">
        <w:rPr>
          <w:vertAlign w:val="superscript"/>
          <w:lang w:eastAsia="it-IT"/>
        </w:rPr>
        <w:t>1</w:t>
      </w:r>
      <w:r w:rsidRPr="00B60938">
        <w:rPr>
          <w:lang w:eastAsia="it-IT"/>
        </w:rPr>
        <w:t>H NMR (500 MHz, DMSO-d</w:t>
      </w:r>
      <w:r w:rsidRPr="00B60938">
        <w:rPr>
          <w:vertAlign w:val="subscript"/>
          <w:lang w:eastAsia="it-IT"/>
        </w:rPr>
        <w:t>6</w:t>
      </w:r>
      <w:r w:rsidRPr="00B60938">
        <w:t xml:space="preserve">, </w:t>
      </w:r>
      <w:r w:rsidRPr="00B60938">
        <w:rPr>
          <w:rFonts w:cs="Times"/>
        </w:rPr>
        <w:t>δ):</w:t>
      </w:r>
      <w:r w:rsidRPr="00B60938">
        <w:t xml:space="preserve"> </w:t>
      </w:r>
      <w:r w:rsidRPr="00B60938">
        <w:rPr>
          <w:lang w:eastAsia="it-IT"/>
        </w:rPr>
        <w:t>4.21 (s, 2H), 7.32-7.34 (m, 1H), 7.42-7.45 (m, 1H), 7.79-7.81 (m, 1H), 7.97-7.99 (m, 1H), 13.02 (brs, 1H, exchanges with D</w:t>
      </w:r>
      <w:r w:rsidRPr="00B60938">
        <w:rPr>
          <w:vertAlign w:val="subscript"/>
          <w:lang w:eastAsia="it-IT"/>
        </w:rPr>
        <w:t>2</w:t>
      </w:r>
      <w:r w:rsidRPr="00B60938">
        <w:rPr>
          <w:lang w:eastAsia="it-IT"/>
        </w:rPr>
        <w:t xml:space="preserve">O). </w:t>
      </w:r>
    </w:p>
    <w:p w14:paraId="110DC3C8" w14:textId="77777777" w:rsidR="00303C47" w:rsidRPr="00B60938" w:rsidRDefault="00303C47" w:rsidP="00BA1AC8">
      <w:pPr>
        <w:pStyle w:val="TAMainText"/>
        <w:rPr>
          <w:b/>
          <w:lang w:eastAsia="it-IT"/>
        </w:rPr>
      </w:pPr>
      <w:r w:rsidRPr="00B60938">
        <w:rPr>
          <w:rFonts w:cs="Times"/>
          <w:b/>
          <w:lang w:eastAsia="it-IT"/>
        </w:rPr>
        <w:t>{</w:t>
      </w:r>
      <w:r w:rsidRPr="00B60938">
        <w:rPr>
          <w:b/>
          <w:lang w:eastAsia="it-IT"/>
        </w:rPr>
        <w:t>2-[(1</w:t>
      </w:r>
      <w:r w:rsidRPr="00B60938">
        <w:rPr>
          <w:b/>
          <w:i/>
          <w:lang w:eastAsia="it-IT"/>
        </w:rPr>
        <w:t>H</w:t>
      </w:r>
      <w:r w:rsidRPr="00B60938">
        <w:rPr>
          <w:b/>
          <w:lang w:eastAsia="it-IT"/>
        </w:rPr>
        <w:t>-Benzo[</w:t>
      </w:r>
      <w:r w:rsidRPr="00B60938">
        <w:rPr>
          <w:b/>
          <w:i/>
          <w:lang w:eastAsia="it-IT"/>
        </w:rPr>
        <w:t>d</w:t>
      </w:r>
      <w:r w:rsidRPr="00B60938">
        <w:rPr>
          <w:b/>
          <w:lang w:eastAsia="it-IT"/>
        </w:rPr>
        <w:t>]imidazol-2-yl)thio]-1-hydroxyethane-1,1-diyl</w:t>
      </w:r>
      <w:r w:rsidRPr="00B60938">
        <w:rPr>
          <w:rFonts w:cs="Times"/>
          <w:b/>
          <w:lang w:eastAsia="it-IT"/>
        </w:rPr>
        <w:t>}</w:t>
      </w:r>
      <w:r w:rsidRPr="00B60938">
        <w:rPr>
          <w:b/>
          <w:lang w:eastAsia="it-IT"/>
        </w:rPr>
        <w:t xml:space="preserve">bis(phosphonic acid) (26). </w:t>
      </w:r>
      <w:r w:rsidRPr="00B60938">
        <w:rPr>
          <w:lang w:eastAsia="it-IT"/>
        </w:rPr>
        <w:t>To a</w:t>
      </w:r>
      <w:r w:rsidRPr="00B60938">
        <w:rPr>
          <w:b/>
          <w:lang w:eastAsia="it-IT"/>
        </w:rPr>
        <w:t xml:space="preserve"> </w:t>
      </w:r>
      <w:r w:rsidRPr="00B60938">
        <w:rPr>
          <w:lang w:eastAsia="it-IT"/>
        </w:rPr>
        <w:t xml:space="preserve">suspension of </w:t>
      </w:r>
      <w:r w:rsidRPr="00B60938">
        <w:rPr>
          <w:b/>
          <w:lang w:val="pt-BR" w:eastAsia="it-IT"/>
        </w:rPr>
        <w:t>E</w:t>
      </w:r>
      <w:r w:rsidRPr="00B60938">
        <w:rPr>
          <w:b/>
          <w:vertAlign w:val="subscript"/>
          <w:lang w:val="pt-BR" w:eastAsia="it-IT"/>
        </w:rPr>
        <w:t>1</w:t>
      </w:r>
      <w:r w:rsidRPr="00B60938">
        <w:rPr>
          <w:lang w:eastAsia="it-IT"/>
        </w:rPr>
        <w:t xml:space="preserve"> (208 mg, 1 mmol) in acetonitrile (5 mL), H</w:t>
      </w:r>
      <w:r w:rsidRPr="00B60938">
        <w:rPr>
          <w:vertAlign w:val="subscript"/>
          <w:lang w:eastAsia="it-IT"/>
        </w:rPr>
        <w:t>3</w:t>
      </w:r>
      <w:r w:rsidRPr="00B60938">
        <w:rPr>
          <w:lang w:eastAsia="it-IT"/>
        </w:rPr>
        <w:t>PO</w:t>
      </w:r>
      <w:r w:rsidRPr="00B60938">
        <w:rPr>
          <w:vertAlign w:val="subscript"/>
          <w:lang w:eastAsia="it-IT"/>
        </w:rPr>
        <w:t>3</w:t>
      </w:r>
      <w:r w:rsidRPr="00B60938">
        <w:rPr>
          <w:lang w:eastAsia="it-IT"/>
        </w:rPr>
        <w:t xml:space="preserve"> (246 mg, 3 mmol) was added and the reaction mixture was heated to 75 °C. Subsequently, PCl</w:t>
      </w:r>
      <w:r w:rsidRPr="00B60938">
        <w:rPr>
          <w:vertAlign w:val="subscript"/>
          <w:lang w:eastAsia="it-IT"/>
        </w:rPr>
        <w:t>3</w:t>
      </w:r>
      <w:r w:rsidRPr="00B60938">
        <w:rPr>
          <w:lang w:eastAsia="it-IT"/>
        </w:rPr>
        <w:t xml:space="preserve"> (329 µL, 3 mmol) was dropwise added and the resulting reaction mixture stirred at 75 °C for 5 h.  Then, the solvent was distilled under vacuum and water (5 mL) was added to the residue, obtaining a yellow-orange suspension. A spoon of charcoal was added and the mixture was stirred for 1 h, then filtered through celite obtaining a clear solution that was refluxed for 7 hours. A white precipitate appeared after cooling at room temperature. The precipitate was filtered obtaining the product </w:t>
      </w:r>
      <w:r w:rsidRPr="00B60938">
        <w:rPr>
          <w:b/>
          <w:lang w:eastAsia="it-IT"/>
        </w:rPr>
        <w:t>26</w:t>
      </w:r>
      <w:r w:rsidRPr="00B60938">
        <w:rPr>
          <w:lang w:eastAsia="it-IT"/>
        </w:rPr>
        <w:t xml:space="preserve"> (141 mg, 0.4 mmol). Yield: 40%. </w:t>
      </w:r>
      <w:r w:rsidRPr="00B60938">
        <w:rPr>
          <w:vertAlign w:val="superscript"/>
          <w:lang w:eastAsia="it-IT"/>
        </w:rPr>
        <w:t>1</w:t>
      </w:r>
      <w:r w:rsidRPr="00B60938">
        <w:rPr>
          <w:lang w:eastAsia="it-IT"/>
        </w:rPr>
        <w:t>H NMR (500 MHz, DMSO-d</w:t>
      </w:r>
      <w:r w:rsidRPr="00B60938">
        <w:rPr>
          <w:vertAlign w:val="subscript"/>
          <w:lang w:eastAsia="it-IT"/>
        </w:rPr>
        <w:t>6</w:t>
      </w:r>
      <w:r w:rsidRPr="00B60938">
        <w:t xml:space="preserve">, </w:t>
      </w:r>
      <w:r w:rsidRPr="00B60938">
        <w:rPr>
          <w:rFonts w:cs="Times"/>
        </w:rPr>
        <w:t>δ):</w:t>
      </w:r>
      <w:r w:rsidRPr="00B60938">
        <w:t xml:space="preserve"> </w:t>
      </w:r>
      <w:r w:rsidRPr="00B60938">
        <w:rPr>
          <w:lang w:eastAsia="it-IT"/>
        </w:rPr>
        <w:t xml:space="preserve">4.10 (s, 2H), 7.09-7.10 (m, 2H), 7.29-7.42 (m, 2H). </w:t>
      </w:r>
      <w:r w:rsidRPr="00B60938">
        <w:rPr>
          <w:vertAlign w:val="superscript"/>
          <w:lang w:eastAsia="it-IT"/>
        </w:rPr>
        <w:t>31</w:t>
      </w:r>
      <w:r w:rsidRPr="00B60938">
        <w:rPr>
          <w:lang w:eastAsia="it-IT"/>
        </w:rPr>
        <w:t>P NMR (202 MHz, D</w:t>
      </w:r>
      <w:r w:rsidRPr="00B60938">
        <w:rPr>
          <w:vertAlign w:val="subscript"/>
          <w:lang w:eastAsia="it-IT"/>
        </w:rPr>
        <w:t>2</w:t>
      </w:r>
      <w:r w:rsidRPr="00B60938">
        <w:rPr>
          <w:lang w:eastAsia="it-IT"/>
        </w:rPr>
        <w:t>O/NaOD</w:t>
      </w:r>
      <w:r w:rsidRPr="00B60938">
        <w:t xml:space="preserve">, </w:t>
      </w:r>
      <w:r w:rsidRPr="00B60938">
        <w:rPr>
          <w:rFonts w:cs="Times"/>
        </w:rPr>
        <w:t>δ):</w:t>
      </w:r>
      <w:r w:rsidRPr="00B60938">
        <w:t xml:space="preserve"> </w:t>
      </w:r>
      <w:r w:rsidRPr="00B60938">
        <w:rPr>
          <w:lang w:eastAsia="it-IT"/>
        </w:rPr>
        <w:t>14.95 (s, 2P).</w:t>
      </w:r>
    </w:p>
    <w:p w14:paraId="581C7F9C" w14:textId="77777777" w:rsidR="00303C47" w:rsidRPr="00B60938" w:rsidRDefault="00303C47" w:rsidP="00C75139">
      <w:pPr>
        <w:pStyle w:val="TAMainText"/>
        <w:rPr>
          <w:b/>
          <w:lang w:eastAsia="it-IT"/>
        </w:rPr>
      </w:pPr>
      <w:r w:rsidRPr="00B60938">
        <w:rPr>
          <w:b/>
          <w:lang w:eastAsia="it-IT"/>
        </w:rPr>
        <w:t>[2-(Benzo[</w:t>
      </w:r>
      <w:r w:rsidRPr="00B60938">
        <w:rPr>
          <w:b/>
          <w:i/>
          <w:lang w:eastAsia="it-IT"/>
        </w:rPr>
        <w:t>d</w:t>
      </w:r>
      <w:r w:rsidRPr="00B60938">
        <w:rPr>
          <w:b/>
          <w:lang w:eastAsia="it-IT"/>
        </w:rPr>
        <w:t xml:space="preserve">]thiazol-2-ylamino)-1-hydroxyethane-1,1-diyl]bis(phosphonic acid) (27). </w:t>
      </w:r>
      <w:r w:rsidRPr="00B60938">
        <w:rPr>
          <w:lang w:eastAsia="it-IT"/>
        </w:rPr>
        <w:t>To a suspension of</w:t>
      </w:r>
      <w:r w:rsidRPr="00B60938">
        <w:rPr>
          <w:b/>
          <w:lang w:eastAsia="it-IT"/>
        </w:rPr>
        <w:t xml:space="preserve"> </w:t>
      </w:r>
      <w:r w:rsidRPr="00B60938">
        <w:rPr>
          <w:lang w:eastAsia="it-IT"/>
        </w:rPr>
        <w:t xml:space="preserve">compounds </w:t>
      </w:r>
      <w:r w:rsidRPr="00B60938">
        <w:rPr>
          <w:b/>
          <w:lang w:val="pt-BR" w:eastAsia="it-IT"/>
        </w:rPr>
        <w:t>E</w:t>
      </w:r>
      <w:r w:rsidRPr="00B60938">
        <w:rPr>
          <w:b/>
          <w:vertAlign w:val="subscript"/>
          <w:lang w:val="pt-BR" w:eastAsia="it-IT"/>
        </w:rPr>
        <w:t>3</w:t>
      </w:r>
      <w:r w:rsidRPr="00B60938">
        <w:rPr>
          <w:lang w:eastAsia="it-IT"/>
        </w:rPr>
        <w:t xml:space="preserve"> (208 mg, 1 mmol) in acetonitrile (5 mL), H</w:t>
      </w:r>
      <w:r w:rsidRPr="00B60938">
        <w:rPr>
          <w:vertAlign w:val="subscript"/>
          <w:lang w:eastAsia="it-IT"/>
        </w:rPr>
        <w:t>3</w:t>
      </w:r>
      <w:r w:rsidRPr="00B60938">
        <w:rPr>
          <w:lang w:eastAsia="it-IT"/>
        </w:rPr>
        <w:t>PO</w:t>
      </w:r>
      <w:r w:rsidRPr="00B60938">
        <w:rPr>
          <w:vertAlign w:val="subscript"/>
          <w:lang w:eastAsia="it-IT"/>
        </w:rPr>
        <w:t>3</w:t>
      </w:r>
      <w:r w:rsidRPr="00B60938">
        <w:rPr>
          <w:lang w:eastAsia="it-IT"/>
        </w:rPr>
        <w:t xml:space="preserve"> (246 mg, 3 mmol) was added and the reaction mixture was heated at 75 °C. Subsequently, PCl</w:t>
      </w:r>
      <w:r w:rsidRPr="00B60938">
        <w:rPr>
          <w:vertAlign w:val="subscript"/>
          <w:lang w:eastAsia="it-IT"/>
        </w:rPr>
        <w:t>3</w:t>
      </w:r>
      <w:r w:rsidRPr="00B60938">
        <w:rPr>
          <w:lang w:eastAsia="it-IT"/>
        </w:rPr>
        <w:t xml:space="preserve"> (329 µL, 3 mmol) was dropwise added and the mixture was left at 75 °C for 5 hours.  The solvent was distilled under vacuum and then water (5 mL) was added to the residue obtaining a yellow suspension. A spoon of charcoal was added and the mixture was stirred for 1 h; then, the solution was filtered through celite obtaining </w:t>
      </w:r>
      <w:r w:rsidRPr="00B60938">
        <w:rPr>
          <w:lang w:eastAsia="it-IT"/>
        </w:rPr>
        <w:lastRenderedPageBreak/>
        <w:t xml:space="preserve">a clear solution that was refluxed for 7 h. After cooling at room temperature a white precipitate appeared. The precipitate was filtered obtaining the product </w:t>
      </w:r>
      <w:r w:rsidRPr="00B60938">
        <w:rPr>
          <w:b/>
          <w:lang w:eastAsia="it-IT"/>
        </w:rPr>
        <w:t>27</w:t>
      </w:r>
      <w:r w:rsidRPr="00B60938">
        <w:rPr>
          <w:lang w:eastAsia="it-IT"/>
        </w:rPr>
        <w:t xml:space="preserve"> (142 mg, 0.4 mmol). Yield: 40%. </w:t>
      </w:r>
      <w:r w:rsidRPr="00B60938">
        <w:rPr>
          <w:vertAlign w:val="superscript"/>
          <w:lang w:eastAsia="it-IT"/>
        </w:rPr>
        <w:t>1</w:t>
      </w:r>
      <w:r w:rsidRPr="00B60938">
        <w:rPr>
          <w:lang w:eastAsia="it-IT"/>
        </w:rPr>
        <w:t>H NMR (500 MHz, D</w:t>
      </w:r>
      <w:r w:rsidRPr="00B60938">
        <w:rPr>
          <w:vertAlign w:val="subscript"/>
          <w:lang w:eastAsia="it-IT"/>
        </w:rPr>
        <w:t>2</w:t>
      </w:r>
      <w:r w:rsidRPr="00B60938">
        <w:rPr>
          <w:lang w:eastAsia="it-IT"/>
        </w:rPr>
        <w:t>O/NaOD</w:t>
      </w:r>
      <w:r w:rsidRPr="00B60938">
        <w:t xml:space="preserve">, </w:t>
      </w:r>
      <w:r w:rsidRPr="00B60938">
        <w:rPr>
          <w:rFonts w:cs="Times"/>
        </w:rPr>
        <w:t>δ):</w:t>
      </w:r>
      <w:r w:rsidRPr="00B60938">
        <w:t xml:space="preserve"> </w:t>
      </w:r>
      <w:r w:rsidRPr="00B60938">
        <w:rPr>
          <w:lang w:eastAsia="it-IT"/>
        </w:rPr>
        <w:t xml:space="preserve">4.28 (s, 2H), 6.70-6.72 (m, 1H), 6.91-6.93 (m, 1H), 7.10-7.12 (m, 1H), 7.24-7.26 (m, 1H). </w:t>
      </w:r>
      <w:r w:rsidRPr="00B60938">
        <w:rPr>
          <w:vertAlign w:val="superscript"/>
          <w:lang w:eastAsia="it-IT"/>
        </w:rPr>
        <w:t>31</w:t>
      </w:r>
      <w:r w:rsidRPr="00B60938">
        <w:rPr>
          <w:lang w:eastAsia="it-IT"/>
        </w:rPr>
        <w:t>P NMR (202 MHz, D</w:t>
      </w:r>
      <w:r w:rsidRPr="00B60938">
        <w:rPr>
          <w:vertAlign w:val="subscript"/>
          <w:lang w:eastAsia="it-IT"/>
        </w:rPr>
        <w:t>2</w:t>
      </w:r>
      <w:r w:rsidRPr="00B60938">
        <w:rPr>
          <w:lang w:eastAsia="it-IT"/>
        </w:rPr>
        <w:t>O/NaOD</w:t>
      </w:r>
      <w:r w:rsidRPr="00B60938">
        <w:t xml:space="preserve">, </w:t>
      </w:r>
      <w:r w:rsidRPr="00B60938">
        <w:rPr>
          <w:rFonts w:cs="Times"/>
        </w:rPr>
        <w:t>δ):</w:t>
      </w:r>
      <w:r w:rsidRPr="00B60938">
        <w:t xml:space="preserve"> </w:t>
      </w:r>
      <w:r w:rsidRPr="00B60938">
        <w:rPr>
          <w:lang w:eastAsia="it-IT"/>
        </w:rPr>
        <w:t>14.73 (s, 2P).</w:t>
      </w:r>
    </w:p>
    <w:p w14:paraId="5858671A" w14:textId="77777777" w:rsidR="00303C47" w:rsidRPr="00B60938" w:rsidRDefault="00303C47" w:rsidP="00AD47FF">
      <w:pPr>
        <w:pStyle w:val="TAMainText"/>
        <w:rPr>
          <w:b/>
          <w:lang w:eastAsia="it-IT"/>
        </w:rPr>
      </w:pPr>
      <w:r w:rsidRPr="00B60938">
        <w:rPr>
          <w:b/>
          <w:lang w:eastAsia="it-IT"/>
        </w:rPr>
        <w:t>[2-(Benzo[</w:t>
      </w:r>
      <w:r w:rsidRPr="00B60938">
        <w:rPr>
          <w:b/>
          <w:i/>
          <w:lang w:eastAsia="it-IT"/>
        </w:rPr>
        <w:t>d</w:t>
      </w:r>
      <w:r w:rsidRPr="00B60938">
        <w:rPr>
          <w:b/>
          <w:lang w:eastAsia="it-IT"/>
        </w:rPr>
        <w:t xml:space="preserve">]thiazol-2-ylthio)-1-hydroxyethane-1,1-diyl]bis(phosphonic acid) (28). </w:t>
      </w:r>
      <w:r w:rsidRPr="00B60938">
        <w:rPr>
          <w:lang w:eastAsia="it-IT"/>
        </w:rPr>
        <w:t xml:space="preserve">To a suspension of compound </w:t>
      </w:r>
      <w:r w:rsidRPr="00B60938">
        <w:rPr>
          <w:b/>
          <w:lang w:val="pt-BR" w:eastAsia="it-IT"/>
        </w:rPr>
        <w:t>E</w:t>
      </w:r>
      <w:r w:rsidRPr="00B60938">
        <w:rPr>
          <w:b/>
          <w:vertAlign w:val="subscript"/>
          <w:lang w:val="pt-BR" w:eastAsia="it-IT"/>
        </w:rPr>
        <w:t>4</w:t>
      </w:r>
      <w:r w:rsidRPr="00B60938">
        <w:rPr>
          <w:lang w:eastAsia="it-IT"/>
        </w:rPr>
        <w:t xml:space="preserve"> (450 mg, 2 mmol) in acetonitrile (10 mL), H</w:t>
      </w:r>
      <w:r w:rsidRPr="00B60938">
        <w:rPr>
          <w:vertAlign w:val="subscript"/>
          <w:lang w:eastAsia="it-IT"/>
        </w:rPr>
        <w:t>3</w:t>
      </w:r>
      <w:r w:rsidRPr="00B60938">
        <w:rPr>
          <w:lang w:eastAsia="it-IT"/>
        </w:rPr>
        <w:t>PO</w:t>
      </w:r>
      <w:r w:rsidRPr="00B60938">
        <w:rPr>
          <w:vertAlign w:val="subscript"/>
          <w:lang w:eastAsia="it-IT"/>
        </w:rPr>
        <w:t>3</w:t>
      </w:r>
      <w:r w:rsidRPr="00B60938">
        <w:rPr>
          <w:lang w:eastAsia="it-IT"/>
        </w:rPr>
        <w:t xml:space="preserve"> (492 mg, 6 mmol) was added and the mixture was heated at 75 °C. Subsequently, PCl</w:t>
      </w:r>
      <w:r w:rsidRPr="00B60938">
        <w:rPr>
          <w:vertAlign w:val="subscript"/>
          <w:lang w:eastAsia="it-IT"/>
        </w:rPr>
        <w:t>3</w:t>
      </w:r>
      <w:r w:rsidRPr="00B60938">
        <w:rPr>
          <w:lang w:eastAsia="it-IT"/>
        </w:rPr>
        <w:t xml:space="preserve"> (659 µL, 6 mmol) was dropwise added and the reaction mixture was stirred at 75 °C for 5 h.  The solvent was removed under vacuum and water (5 mL) was added to the residue obtaining a yellow-orange suspension. A spoon of charcoal was added and the mixture was stirred for 1 h; then, the solution was filtered through celite obtaining a clear solution that was refluxed for 7 h. A white precipitate appeared after cooling down at room temperature. The precipitate was filtered affording the product </w:t>
      </w:r>
      <w:r w:rsidRPr="00B60938">
        <w:rPr>
          <w:b/>
          <w:lang w:eastAsia="it-IT"/>
        </w:rPr>
        <w:t>28</w:t>
      </w:r>
      <w:r w:rsidRPr="00B60938">
        <w:rPr>
          <w:lang w:eastAsia="it-IT"/>
        </w:rPr>
        <w:t xml:space="preserve"> (75 mg, 0.20 mmol). Yield: 10%. </w:t>
      </w:r>
      <w:r w:rsidRPr="00B60938">
        <w:rPr>
          <w:vertAlign w:val="superscript"/>
          <w:lang w:eastAsia="it-IT"/>
        </w:rPr>
        <w:t>1</w:t>
      </w:r>
      <w:r w:rsidRPr="00B60938">
        <w:rPr>
          <w:lang w:eastAsia="it-IT"/>
        </w:rPr>
        <w:t>H NMR (500 MHz, D</w:t>
      </w:r>
      <w:r w:rsidRPr="00B60938">
        <w:rPr>
          <w:vertAlign w:val="subscript"/>
          <w:lang w:eastAsia="it-IT"/>
        </w:rPr>
        <w:t>2</w:t>
      </w:r>
      <w:r w:rsidRPr="00B60938">
        <w:rPr>
          <w:lang w:eastAsia="it-IT"/>
        </w:rPr>
        <w:t>O/NaOD</w:t>
      </w:r>
      <w:r w:rsidRPr="00B60938">
        <w:t xml:space="preserve">, </w:t>
      </w:r>
      <w:r w:rsidRPr="00B60938">
        <w:rPr>
          <w:rFonts w:cs="Times"/>
        </w:rPr>
        <w:t>δ):</w:t>
      </w:r>
      <w:r w:rsidRPr="00B60938">
        <w:t xml:space="preserve"> </w:t>
      </w:r>
      <w:r w:rsidRPr="00B60938">
        <w:rPr>
          <w:lang w:eastAsia="it-IT"/>
        </w:rPr>
        <w:t xml:space="preserve">1.96 (t, 2H, </w:t>
      </w:r>
      <w:r w:rsidRPr="00B60938">
        <w:rPr>
          <w:i/>
          <w:lang w:eastAsia="it-IT"/>
        </w:rPr>
        <w:t>J</w:t>
      </w:r>
      <w:r w:rsidRPr="00B60938">
        <w:rPr>
          <w:vertAlign w:val="subscript"/>
          <w:lang w:eastAsia="it-IT"/>
        </w:rPr>
        <w:t>H-P</w:t>
      </w:r>
      <w:r w:rsidRPr="00B60938">
        <w:rPr>
          <w:lang w:eastAsia="it-IT"/>
        </w:rPr>
        <w:t xml:space="preserve"> = 11.2 Hz), 6.47 (t, 1H,</w:t>
      </w:r>
      <w:r w:rsidRPr="00B60938">
        <w:rPr>
          <w:i/>
          <w:lang w:eastAsia="it-IT"/>
        </w:rPr>
        <w:t xml:space="preserve"> J</w:t>
      </w:r>
      <w:r w:rsidRPr="00B60938">
        <w:rPr>
          <w:lang w:eastAsia="it-IT"/>
        </w:rPr>
        <w:t xml:space="preserve"> = 7.6 Hz), 6.66-6.67 (m, 2H), 6.94 (d, 1H, </w:t>
      </w:r>
      <w:r w:rsidRPr="00B60938">
        <w:rPr>
          <w:i/>
          <w:lang w:eastAsia="it-IT"/>
        </w:rPr>
        <w:t>J</w:t>
      </w:r>
      <w:r w:rsidRPr="00B60938">
        <w:rPr>
          <w:lang w:eastAsia="it-IT"/>
        </w:rPr>
        <w:t xml:space="preserve"> = 7.6 Hz). </w:t>
      </w:r>
      <w:r w:rsidRPr="00B60938">
        <w:rPr>
          <w:vertAlign w:val="superscript"/>
          <w:lang w:eastAsia="it-IT"/>
        </w:rPr>
        <w:t>31</w:t>
      </w:r>
      <w:r w:rsidRPr="00B60938">
        <w:rPr>
          <w:lang w:eastAsia="it-IT"/>
        </w:rPr>
        <w:t>P NMR (202 MHz, D</w:t>
      </w:r>
      <w:r w:rsidRPr="00B60938">
        <w:rPr>
          <w:vertAlign w:val="subscript"/>
          <w:lang w:eastAsia="it-IT"/>
        </w:rPr>
        <w:t>2</w:t>
      </w:r>
      <w:r w:rsidRPr="00B60938">
        <w:rPr>
          <w:lang w:eastAsia="it-IT"/>
        </w:rPr>
        <w:t>O/NaOD</w:t>
      </w:r>
      <w:r w:rsidRPr="00B60938">
        <w:t xml:space="preserve">, </w:t>
      </w:r>
      <w:r w:rsidRPr="00B60938">
        <w:rPr>
          <w:rFonts w:cs="Times"/>
        </w:rPr>
        <w:t>δ):</w:t>
      </w:r>
      <w:r w:rsidRPr="00B60938">
        <w:t xml:space="preserve"> </w:t>
      </w:r>
      <w:r w:rsidRPr="00B60938">
        <w:rPr>
          <w:lang w:eastAsia="it-IT"/>
        </w:rPr>
        <w:t xml:space="preserve">15.72 (t, 2P, </w:t>
      </w:r>
      <w:r w:rsidRPr="00B60938">
        <w:rPr>
          <w:i/>
          <w:lang w:eastAsia="it-IT"/>
        </w:rPr>
        <w:t>J</w:t>
      </w:r>
      <w:r w:rsidRPr="00B60938">
        <w:rPr>
          <w:vertAlign w:val="subscript"/>
          <w:lang w:eastAsia="it-IT"/>
        </w:rPr>
        <w:t>PP</w:t>
      </w:r>
      <w:r w:rsidRPr="00B60938">
        <w:rPr>
          <w:lang w:eastAsia="it-IT"/>
        </w:rPr>
        <w:t xml:space="preserve"> = 16.16 Hz).</w:t>
      </w:r>
    </w:p>
    <w:p w14:paraId="52782BB5" w14:textId="77777777" w:rsidR="00303C47" w:rsidRPr="00B60938" w:rsidRDefault="00303C47" w:rsidP="00AD47FF">
      <w:pPr>
        <w:pStyle w:val="TAMainText"/>
        <w:rPr>
          <w:lang w:eastAsia="it-IT"/>
        </w:rPr>
      </w:pPr>
    </w:p>
    <w:p w14:paraId="6731A1BB" w14:textId="172BBBE9" w:rsidR="00303C47" w:rsidRPr="00B60938" w:rsidRDefault="0099555C" w:rsidP="00FA303D">
      <w:pPr>
        <w:pStyle w:val="TAMainText"/>
        <w:outlineLvl w:val="0"/>
        <w:rPr>
          <w:b/>
          <w:lang w:eastAsia="it-IT"/>
        </w:rPr>
      </w:pPr>
      <w:r w:rsidRPr="00B60938">
        <w:rPr>
          <w:b/>
          <w:lang w:eastAsia="it-IT"/>
        </w:rPr>
        <w:t>3</w:t>
      </w:r>
      <w:r w:rsidR="00303C47" w:rsidRPr="00B60938">
        <w:rPr>
          <w:b/>
          <w:lang w:eastAsia="it-IT"/>
        </w:rPr>
        <w:t>.</w:t>
      </w:r>
      <w:r w:rsidRPr="00B60938">
        <w:rPr>
          <w:b/>
          <w:lang w:eastAsia="it-IT"/>
        </w:rPr>
        <w:t>2</w:t>
      </w:r>
      <w:r w:rsidR="00303C47" w:rsidRPr="00B60938">
        <w:rPr>
          <w:b/>
          <w:lang w:eastAsia="it-IT"/>
        </w:rPr>
        <w:t xml:space="preserve"> Biological evaluation. Gene expression and protein purification.</w:t>
      </w:r>
    </w:p>
    <w:p w14:paraId="7616811C" w14:textId="0415F917" w:rsidR="00303C47" w:rsidRPr="00913BF7" w:rsidRDefault="00303C47" w:rsidP="00313F11">
      <w:pPr>
        <w:pStyle w:val="TAMainText"/>
        <w:rPr>
          <w:lang w:eastAsia="it-IT"/>
        </w:rPr>
      </w:pPr>
      <w:r w:rsidRPr="00B60938">
        <w:rPr>
          <w:lang w:eastAsia="it-IT"/>
        </w:rPr>
        <w:t xml:space="preserve">Expression vectors containing cDNA sequences encoding for </w:t>
      </w:r>
      <w:r w:rsidRPr="00B60938">
        <w:rPr>
          <w:i/>
          <w:lang w:eastAsia="it-IT"/>
        </w:rPr>
        <w:t>h</w:t>
      </w:r>
      <w:r w:rsidRPr="00B60938">
        <w:rPr>
          <w:lang w:eastAsia="it-IT"/>
        </w:rPr>
        <w:t xml:space="preserve">FPPS or </w:t>
      </w:r>
      <w:r w:rsidRPr="00B60938">
        <w:rPr>
          <w:i/>
          <w:lang w:eastAsia="it-IT"/>
        </w:rPr>
        <w:t>h</w:t>
      </w:r>
      <w:r w:rsidRPr="00B60938">
        <w:rPr>
          <w:lang w:eastAsia="it-IT"/>
        </w:rPr>
        <w:t>GGPPS, pET-6xHis/</w:t>
      </w:r>
      <w:r w:rsidRPr="00B60938">
        <w:rPr>
          <w:i/>
          <w:lang w:eastAsia="it-IT"/>
        </w:rPr>
        <w:t>h</w:t>
      </w:r>
      <w:r w:rsidRPr="00B60938">
        <w:rPr>
          <w:lang w:eastAsia="it-IT"/>
        </w:rPr>
        <w:t>FPPS [NM_001135822.1] and pET-6xHis/</w:t>
      </w:r>
      <w:r w:rsidRPr="00B60938">
        <w:rPr>
          <w:i/>
          <w:lang w:eastAsia="it-IT"/>
        </w:rPr>
        <w:t>h</w:t>
      </w:r>
      <w:r w:rsidRPr="00B60938">
        <w:rPr>
          <w:lang w:eastAsia="it-IT"/>
        </w:rPr>
        <w:t xml:space="preserve">GGPPS [NM_001037277.1], respectively, were purchased from Cyagen Biosciences (Santa Clara, CA) and were individually used to transform </w:t>
      </w:r>
      <w:r w:rsidRPr="00B60938">
        <w:rPr>
          <w:i/>
          <w:lang w:eastAsia="it-IT"/>
        </w:rPr>
        <w:t xml:space="preserve">E. coli </w:t>
      </w:r>
      <w:r w:rsidRPr="00B60938">
        <w:rPr>
          <w:lang w:eastAsia="it-IT"/>
        </w:rPr>
        <w:t>BL21 competent cells</w:t>
      </w:r>
      <w:r w:rsidR="007868B7">
        <w:rPr>
          <w:lang w:eastAsia="it-IT"/>
        </w:rPr>
        <w:t xml:space="preserve"> </w:t>
      </w:r>
      <w:r w:rsidR="007868B7">
        <w:t>[59]</w:t>
      </w:r>
      <w:r w:rsidRPr="00B60938">
        <w:rPr>
          <w:lang w:eastAsia="it-IT"/>
        </w:rPr>
        <w:t>.</w:t>
      </w:r>
      <w:r w:rsidR="001A1AB4" w:rsidRPr="00913BF7">
        <w:rPr>
          <w:lang w:eastAsia="it-IT"/>
        </w:rPr>
        <w:t xml:space="preserve"> </w:t>
      </w:r>
      <w:r w:rsidRPr="00E94337">
        <w:rPr>
          <w:lang w:eastAsia="it-IT"/>
        </w:rPr>
        <w:t xml:space="preserve">The expression and the purification methods were the same for both enzymes. </w:t>
      </w:r>
      <w:r w:rsidR="005D47DF" w:rsidRPr="00B60938">
        <w:rPr>
          <w:lang w:eastAsia="it-IT"/>
        </w:rPr>
        <w:t>Specifically</w:t>
      </w:r>
      <w:r w:rsidRPr="00B60938">
        <w:rPr>
          <w:lang w:eastAsia="it-IT"/>
        </w:rPr>
        <w:t xml:space="preserve">, single transformants were used to inoculate a starter culture that, in turn, was added to a larger volume of LB medium containing 100 </w:t>
      </w:r>
      <w:r w:rsidRPr="00B60938">
        <w:rPr>
          <w:rFonts w:hint="eastAsia"/>
          <w:lang w:eastAsia="it-IT"/>
        </w:rPr>
        <w:t>μ</w:t>
      </w:r>
      <w:r w:rsidRPr="00B60938">
        <w:rPr>
          <w:lang w:eastAsia="it-IT"/>
        </w:rPr>
        <w:t>g/mL of ampicillin to expand the culture.</w:t>
      </w:r>
      <w:r w:rsidR="001A1AB4" w:rsidRPr="00B60938">
        <w:rPr>
          <w:lang w:eastAsia="it-IT"/>
        </w:rPr>
        <w:t xml:space="preserve"> </w:t>
      </w:r>
      <w:r w:rsidRPr="00B60938">
        <w:rPr>
          <w:lang w:eastAsia="it-IT"/>
        </w:rPr>
        <w:t>When the culture density reached OD</w:t>
      </w:r>
      <w:r w:rsidRPr="00B60938">
        <w:rPr>
          <w:vertAlign w:val="subscript"/>
          <w:lang w:eastAsia="it-IT"/>
        </w:rPr>
        <w:t>600</w:t>
      </w:r>
      <w:r w:rsidRPr="00B60938">
        <w:rPr>
          <w:lang w:eastAsia="it-IT"/>
        </w:rPr>
        <w:t xml:space="preserve"> = 0.4-0.6, the expression of the target enzyme was induced by the addition of 0.7 mM isopropyl-1-thio-</w:t>
      </w:r>
      <w:r w:rsidRPr="00B60938">
        <w:rPr>
          <w:rFonts w:hint="eastAsia"/>
          <w:lang w:eastAsia="it-IT"/>
        </w:rPr>
        <w:t>β</w:t>
      </w:r>
      <w:r w:rsidRPr="00B60938">
        <w:rPr>
          <w:lang w:eastAsia="it-IT"/>
        </w:rPr>
        <w:t>-galactopyranoside (IPTG) at 30 °C overnight with shaking at 240 rpm.</w:t>
      </w:r>
      <w:r w:rsidR="00E74290" w:rsidRPr="00B60938">
        <w:rPr>
          <w:vertAlign w:val="superscript"/>
          <w:lang w:eastAsia="it-IT"/>
        </w:rPr>
        <w:t xml:space="preserve"> </w:t>
      </w:r>
      <w:r w:rsidRPr="00B60938">
        <w:rPr>
          <w:lang w:eastAsia="it-IT"/>
        </w:rPr>
        <w:t xml:space="preserve">Cells were harvested by centrifugation at 5,000 rpm, at 4 °C for 10 minutes (Beckman JA-10 rotor) and the pellet was resuspended in 25 mM Tris–HCl (pH 8) (2 mL) containing </w:t>
      </w:r>
      <w:r w:rsidRPr="00B60938">
        <w:rPr>
          <w:lang w:eastAsia="it-IT"/>
        </w:rPr>
        <w:lastRenderedPageBreak/>
        <w:t>5 mM MgCl</w:t>
      </w:r>
      <w:r w:rsidRPr="00B60938">
        <w:rPr>
          <w:vertAlign w:val="subscript"/>
          <w:lang w:eastAsia="it-IT"/>
        </w:rPr>
        <w:t>2</w:t>
      </w:r>
      <w:r w:rsidRPr="00B60938">
        <w:rPr>
          <w:lang w:eastAsia="it-IT"/>
        </w:rPr>
        <w:t xml:space="preserve">, 1.5 mM </w:t>
      </w:r>
      <w:r w:rsidRPr="00B60938">
        <w:rPr>
          <w:rFonts w:hint="eastAsia"/>
          <w:bCs/>
          <w:lang w:eastAsia="it-IT"/>
        </w:rPr>
        <w:t>β</w:t>
      </w:r>
      <w:r w:rsidRPr="00B60938">
        <w:rPr>
          <w:bCs/>
          <w:lang w:eastAsia="it-IT"/>
        </w:rPr>
        <w:t>-mercaptoethanol (BME)</w:t>
      </w:r>
      <w:r w:rsidRPr="00B60938">
        <w:rPr>
          <w:lang w:eastAsia="it-IT"/>
        </w:rPr>
        <w:t xml:space="preserve"> and Protease Inhibitor Cocktail (cOmplete ULTRA Tablets, Roche). The cells were then lysed by sonication using a 1/8th inch microtip (Branson Digital Sonifier Model 500, 0.5 s pulses, 3 minutes, 11 W and at ~ 0°C)</w:t>
      </w:r>
      <w:r w:rsidR="007868B7">
        <w:rPr>
          <w:lang w:eastAsia="it-IT"/>
        </w:rPr>
        <w:t xml:space="preserve"> </w:t>
      </w:r>
      <w:r w:rsidR="007868B7">
        <w:t>[45]</w:t>
      </w:r>
      <w:r w:rsidRPr="00B60938">
        <w:rPr>
          <w:lang w:eastAsia="it-IT"/>
        </w:rPr>
        <w:t>,</w:t>
      </w:r>
      <w:r w:rsidRPr="00913BF7">
        <w:rPr>
          <w:vertAlign w:val="superscript"/>
          <w:lang w:eastAsia="it-IT"/>
        </w:rPr>
        <w:t xml:space="preserve"> </w:t>
      </w:r>
      <w:r w:rsidRPr="00E94337">
        <w:rPr>
          <w:lang w:eastAsia="it-IT"/>
        </w:rPr>
        <w:t xml:space="preserve">Cell lysate was centrifuged at 12,000 </w:t>
      </w:r>
      <w:r w:rsidRPr="00B60938">
        <w:rPr>
          <w:lang w:eastAsia="it-IT"/>
        </w:rPr>
        <w:t>rpm, at 4 °C for 15 minutes (</w:t>
      </w:r>
      <w:r w:rsidRPr="00B60938">
        <w:rPr>
          <w:bCs/>
          <w:lang w:eastAsia="it-IT"/>
        </w:rPr>
        <w:t xml:space="preserve">Eppendorf Refrigerated Microcentrifuge, Model 5417R) </w:t>
      </w:r>
      <w:r w:rsidRPr="00B60938">
        <w:rPr>
          <w:lang w:eastAsia="it-IT"/>
        </w:rPr>
        <w:t xml:space="preserve">and the supernatant, containing the soluble recombinant protein, was immediately adjusted to 150 mM NaCl and 5 mM imidazole. Both enzymes were purified by Immobilized Metal Ion Affinity Chromatography (IMAC) using the Ni-NTA resin which presents nitrilotriacetic acid (NTA), a tetradentate chelating ligand, in a highly cross-linked 6% agarose matrix. </w:t>
      </w:r>
      <w:r w:rsidRPr="00B60938">
        <w:rPr>
          <w:i/>
          <w:lang w:eastAsia="it-IT"/>
        </w:rPr>
        <w:t>h</w:t>
      </w:r>
      <w:r w:rsidRPr="00B60938">
        <w:rPr>
          <w:lang w:eastAsia="it-IT"/>
        </w:rPr>
        <w:t xml:space="preserve">FPPS and </w:t>
      </w:r>
      <w:r w:rsidRPr="00B60938">
        <w:rPr>
          <w:i/>
          <w:lang w:eastAsia="it-IT"/>
        </w:rPr>
        <w:t>h</w:t>
      </w:r>
      <w:r w:rsidRPr="00B60938">
        <w:rPr>
          <w:lang w:eastAsia="it-IT"/>
        </w:rPr>
        <w:t xml:space="preserve">GGPPS purification was performed as described by Sen </w:t>
      </w:r>
      <w:r w:rsidRPr="00B60938">
        <w:rPr>
          <w:i/>
          <w:lang w:eastAsia="it-IT"/>
        </w:rPr>
        <w:t>et al.</w:t>
      </w:r>
      <w:r w:rsidRPr="00B60938">
        <w:rPr>
          <w:lang w:eastAsia="it-IT"/>
        </w:rPr>
        <w:br/>
        <w:t>with minor modifications</w:t>
      </w:r>
      <w:r w:rsidR="007868B7">
        <w:rPr>
          <w:lang w:eastAsia="it-IT"/>
        </w:rPr>
        <w:t xml:space="preserve"> </w:t>
      </w:r>
      <w:r w:rsidR="007868B7">
        <w:t>[43,60]</w:t>
      </w:r>
      <w:r w:rsidRPr="00B60938">
        <w:rPr>
          <w:lang w:eastAsia="it-IT"/>
        </w:rPr>
        <w:t>.</w:t>
      </w:r>
    </w:p>
    <w:p w14:paraId="58640AE1" w14:textId="77777777" w:rsidR="00303C47" w:rsidRPr="00B60938" w:rsidRDefault="00303C47" w:rsidP="00313F11">
      <w:pPr>
        <w:pStyle w:val="TAMainText"/>
        <w:rPr>
          <w:lang w:eastAsia="it-IT"/>
        </w:rPr>
      </w:pPr>
      <w:r w:rsidRPr="00B60938">
        <w:rPr>
          <w:lang w:eastAsia="it-IT"/>
        </w:rPr>
        <w:t>Briefly, the supernatant containing the target protein was incubated with Ni-NTA Agarose resin (Nickel metal-affinity resin, ThermoFisher) (500 µL), that had been pre-equilibrated with a buffer containing 25 mM Tris–HCl (pH 8.0),5 mM MgCl</w:t>
      </w:r>
      <w:r w:rsidRPr="00B60938">
        <w:rPr>
          <w:vertAlign w:val="subscript"/>
          <w:lang w:eastAsia="it-IT"/>
        </w:rPr>
        <w:t>2</w:t>
      </w:r>
      <w:r w:rsidRPr="00B60938">
        <w:rPr>
          <w:lang w:eastAsia="it-IT"/>
        </w:rPr>
        <w:t xml:space="preserve">, 2 mM BME, 150 mM NaCl and 5 mM imidazole, for 10 minutes at 4°C using gentle agitation to keep the resin suspended. Then, the resin, to which the target protein is bound, was washed three times with a buffer containing 25 mM imidazole. Both </w:t>
      </w:r>
      <w:r w:rsidRPr="00B60938">
        <w:rPr>
          <w:i/>
          <w:lang w:eastAsia="it-IT"/>
        </w:rPr>
        <w:t>h</w:t>
      </w:r>
      <w:r w:rsidRPr="00B60938">
        <w:rPr>
          <w:lang w:eastAsia="it-IT"/>
        </w:rPr>
        <w:t xml:space="preserve">FPPS and </w:t>
      </w:r>
      <w:r w:rsidRPr="00B60938">
        <w:rPr>
          <w:i/>
          <w:lang w:eastAsia="it-IT"/>
        </w:rPr>
        <w:t>h</w:t>
      </w:r>
      <w:r w:rsidRPr="00B60938">
        <w:rPr>
          <w:lang w:eastAsia="it-IT"/>
        </w:rPr>
        <w:t>GGPPS proteins were eluted with 25 mM Tris–HCl (pH 7.0) containing 5 mM MgCl</w:t>
      </w:r>
      <w:r w:rsidRPr="00B60938">
        <w:rPr>
          <w:vertAlign w:val="subscript"/>
          <w:lang w:eastAsia="it-IT"/>
        </w:rPr>
        <w:t>2</w:t>
      </w:r>
      <w:r w:rsidRPr="00B60938">
        <w:rPr>
          <w:lang w:eastAsia="it-IT"/>
        </w:rPr>
        <w:t>, 2 mM BME and 150 mM imidazole. Protein concentrations were assessed using the Bio-Rad protein assay reagent (Bio-Rad). Purification extent was verified by SDS–PAGE followed by Comassie Blue staining using the Image Lab</w:t>
      </w:r>
      <w:r w:rsidRPr="00B60938">
        <w:rPr>
          <w:vertAlign w:val="superscript"/>
          <w:lang w:eastAsia="it-IT"/>
        </w:rPr>
        <w:t>TM</w:t>
      </w:r>
      <w:r w:rsidRPr="00B60938">
        <w:rPr>
          <w:lang w:eastAsia="it-IT"/>
        </w:rPr>
        <w:t xml:space="preserve"> Touch software (Bio-Rad Laboratories, CA USA). </w:t>
      </w:r>
    </w:p>
    <w:p w14:paraId="11022F62" w14:textId="77777777" w:rsidR="00303C47" w:rsidRPr="00B60938" w:rsidRDefault="00303C47" w:rsidP="00CB7B52">
      <w:pPr>
        <w:pStyle w:val="TAMainText"/>
        <w:rPr>
          <w:lang w:eastAsia="it-IT"/>
        </w:rPr>
      </w:pPr>
    </w:p>
    <w:p w14:paraId="1BE08DAF" w14:textId="72D5801F" w:rsidR="00303C47" w:rsidRPr="00B60938" w:rsidRDefault="0099555C">
      <w:pPr>
        <w:pStyle w:val="TAMainText"/>
        <w:outlineLvl w:val="0"/>
        <w:rPr>
          <w:b/>
          <w:lang w:eastAsia="it-IT"/>
        </w:rPr>
      </w:pPr>
      <w:r w:rsidRPr="00B60938">
        <w:rPr>
          <w:b/>
          <w:lang w:eastAsia="it-IT"/>
        </w:rPr>
        <w:t>3.3</w:t>
      </w:r>
      <w:r w:rsidR="00303C47" w:rsidRPr="00B60938">
        <w:rPr>
          <w:b/>
          <w:lang w:eastAsia="it-IT"/>
        </w:rPr>
        <w:t xml:space="preserve"> IC</w:t>
      </w:r>
      <w:r w:rsidR="00303C47" w:rsidRPr="00B60938">
        <w:rPr>
          <w:b/>
          <w:vertAlign w:val="subscript"/>
          <w:lang w:eastAsia="it-IT"/>
        </w:rPr>
        <w:t>50</w:t>
      </w:r>
      <w:r w:rsidR="00303C47" w:rsidRPr="00B60938">
        <w:rPr>
          <w:b/>
          <w:lang w:eastAsia="it-IT"/>
        </w:rPr>
        <w:t xml:space="preserve"> values</w:t>
      </w:r>
      <w:r w:rsidR="00303C47" w:rsidRPr="00B60938">
        <w:rPr>
          <w:b/>
          <w:vertAlign w:val="subscript"/>
          <w:lang w:eastAsia="it-IT"/>
        </w:rPr>
        <w:t xml:space="preserve"> </w:t>
      </w:r>
      <w:r w:rsidR="00303C47" w:rsidRPr="00B60938">
        <w:rPr>
          <w:b/>
          <w:lang w:eastAsia="it-IT"/>
        </w:rPr>
        <w:t>determination using a colorimetric assay</w:t>
      </w:r>
    </w:p>
    <w:p w14:paraId="2443D7E1" w14:textId="64851306" w:rsidR="0022319A" w:rsidRPr="0022319A" w:rsidRDefault="00303C47" w:rsidP="0022319A">
      <w:pPr>
        <w:pStyle w:val="TAMainText"/>
      </w:pPr>
      <w:r w:rsidRPr="00B60938">
        <w:rPr>
          <w:i/>
        </w:rPr>
        <w:t>h</w:t>
      </w:r>
      <w:r w:rsidRPr="00B60938">
        <w:t xml:space="preserve">FPPS and </w:t>
      </w:r>
      <w:r w:rsidRPr="00B60938">
        <w:rPr>
          <w:i/>
        </w:rPr>
        <w:t>h</w:t>
      </w:r>
      <w:r w:rsidRPr="00B60938">
        <w:t>GGPPS enzymatic assays were performed using a known procedure</w:t>
      </w:r>
      <w:r w:rsidR="007868B7">
        <w:t xml:space="preserve"> [43,60]</w:t>
      </w:r>
      <w:r w:rsidR="00E74290" w:rsidRPr="00913BF7">
        <w:rPr>
          <w:vertAlign w:val="superscript"/>
        </w:rPr>
        <w:t xml:space="preserve"> </w:t>
      </w:r>
      <w:r w:rsidRPr="00E94337">
        <w:t xml:space="preserve">with minor modifications. Briefly, the reaction was carried out in 96-well plates flat bottom. 400 ng of purified </w:t>
      </w:r>
      <w:r w:rsidRPr="00B60938">
        <w:rPr>
          <w:i/>
        </w:rPr>
        <w:t>h</w:t>
      </w:r>
      <w:r w:rsidRPr="00B60938">
        <w:t xml:space="preserve">FPPS or </w:t>
      </w:r>
      <w:r w:rsidRPr="00B60938">
        <w:rPr>
          <w:i/>
        </w:rPr>
        <w:t>h</w:t>
      </w:r>
      <w:r w:rsidRPr="00B60938">
        <w:t xml:space="preserve">GGPPS were assayed in a final volume of 100 </w:t>
      </w:r>
      <w:r w:rsidRPr="00B60938">
        <w:rPr>
          <w:rFonts w:hint="eastAsia"/>
        </w:rPr>
        <w:t>μ</w:t>
      </w:r>
      <w:r w:rsidRPr="00B60938">
        <w:t>L of assay solution that had a final concentration of 50 mM Tris-HCl pH 7.0, 5 mM MgCl</w:t>
      </w:r>
      <w:r w:rsidRPr="00B60938">
        <w:rPr>
          <w:vertAlign w:val="subscript"/>
        </w:rPr>
        <w:t>2</w:t>
      </w:r>
      <w:r w:rsidRPr="00B60938">
        <w:t xml:space="preserve">, 1 mM BME and 5 </w:t>
      </w:r>
      <w:r w:rsidRPr="00B60938">
        <w:rPr>
          <w:rFonts w:hint="eastAsia"/>
        </w:rPr>
        <w:t>μ</w:t>
      </w:r>
      <w:r w:rsidRPr="00B60938">
        <w:t xml:space="preserve">g/mL BSA (and 100 </w:t>
      </w:r>
      <w:r w:rsidRPr="00B60938">
        <w:rPr>
          <w:rFonts w:hint="eastAsia"/>
        </w:rPr>
        <w:t>μ</w:t>
      </w:r>
      <w:r w:rsidRPr="00B60938">
        <w:t>U/</w:t>
      </w:r>
      <w:r w:rsidRPr="00B60938">
        <w:rPr>
          <w:rFonts w:hint="eastAsia"/>
        </w:rPr>
        <w:t>μ</w:t>
      </w:r>
      <w:r w:rsidRPr="00B60938">
        <w:t xml:space="preserve">L of inorganic pyrophosphatase only for </w:t>
      </w:r>
      <w:r w:rsidRPr="00B60938">
        <w:rPr>
          <w:i/>
        </w:rPr>
        <w:t>h</w:t>
      </w:r>
      <w:r w:rsidRPr="00B60938">
        <w:t xml:space="preserve">GGPPS). Purified enzymes were incubated with </w:t>
      </w:r>
      <w:r w:rsidRPr="00B60938">
        <w:lastRenderedPageBreak/>
        <w:t>the synthesized compounds for 15 minutes using gentle agitation at room temperature and then substrates were added to start the reaction. Based on previous work</w:t>
      </w:r>
      <w:r w:rsidR="007868B7">
        <w:t xml:space="preserve"> [45]</w:t>
      </w:r>
      <w:r w:rsidRPr="00B60938">
        <w:t>,</w:t>
      </w:r>
      <w:r w:rsidRPr="00913BF7">
        <w:t xml:space="preserve"> the concentrations of the two </w:t>
      </w:r>
      <w:r w:rsidRPr="00B60938">
        <w:rPr>
          <w:i/>
        </w:rPr>
        <w:t>h</w:t>
      </w:r>
      <w:r w:rsidRPr="00B60938">
        <w:t xml:space="preserve">FPPS substrates, DMAPP and IPP, were 25 </w:t>
      </w:r>
      <w:r w:rsidRPr="00B60938">
        <w:rPr>
          <w:rFonts w:hint="eastAsia"/>
        </w:rPr>
        <w:t>μ</w:t>
      </w:r>
      <w:r w:rsidRPr="00B60938">
        <w:t xml:space="preserve">M and 50 </w:t>
      </w:r>
      <w:r w:rsidRPr="00B60938">
        <w:rPr>
          <w:rFonts w:hint="eastAsia"/>
        </w:rPr>
        <w:t>μ</w:t>
      </w:r>
      <w:r w:rsidRPr="00B60938">
        <w:t xml:space="preserve">M, respectively. The concentration of the two </w:t>
      </w:r>
      <w:r w:rsidRPr="00B60938">
        <w:rPr>
          <w:i/>
        </w:rPr>
        <w:t>h</w:t>
      </w:r>
      <w:r w:rsidRPr="00B60938">
        <w:t xml:space="preserve">GGPPS substrates, IPP and FPP, was 25 </w:t>
      </w:r>
      <w:r w:rsidRPr="00B60938">
        <w:rPr>
          <w:rFonts w:hint="eastAsia"/>
        </w:rPr>
        <w:t>μ</w:t>
      </w:r>
      <w:r w:rsidRPr="00B60938">
        <w:t>M</w:t>
      </w:r>
      <w:r w:rsidR="00E74290" w:rsidRPr="00B60938">
        <w:t>.</w:t>
      </w:r>
      <w:r w:rsidR="00E74290" w:rsidRPr="00B60938">
        <w:rPr>
          <w:rStyle w:val="Rimandonotadichiusura"/>
        </w:rPr>
        <w:t xml:space="preserve"> </w:t>
      </w:r>
      <w:r w:rsidRPr="00B60938">
        <w:t xml:space="preserve">Reaction was allowed to proceed for 1 hour at 37 °C and terminated by the addition of 10 </w:t>
      </w:r>
      <w:r w:rsidRPr="00B60938">
        <w:rPr>
          <w:rFonts w:hint="eastAsia"/>
        </w:rPr>
        <w:t>μ</w:t>
      </w:r>
      <w:r w:rsidRPr="00B60938">
        <w:t>L/well of 2.5% ammonium molybdate reagent (in 5 N H</w:t>
      </w:r>
      <w:r w:rsidRPr="00B60938">
        <w:rPr>
          <w:vertAlign w:val="subscript"/>
        </w:rPr>
        <w:t>2</w:t>
      </w:r>
      <w:r w:rsidRPr="00B60938">
        <w:t>SO</w:t>
      </w:r>
      <w:r w:rsidRPr="00B60938">
        <w:rPr>
          <w:vertAlign w:val="subscript"/>
        </w:rPr>
        <w:t>4</w:t>
      </w:r>
      <w:r w:rsidRPr="00B60938">
        <w:t xml:space="preserve">); the plate was gently mixed on a plate shaker for 10 minutes at room temperature. Then, 0.5 M 2-mercaptoethanol (10 </w:t>
      </w:r>
      <w:r w:rsidRPr="00B60938">
        <w:rPr>
          <w:rFonts w:hint="eastAsia"/>
        </w:rPr>
        <w:t>μ</w:t>
      </w:r>
      <w:r w:rsidRPr="00B60938">
        <w:t xml:space="preserve">L) and Eikonogen reagent (20 </w:t>
      </w:r>
      <w:r w:rsidRPr="00B60938">
        <w:rPr>
          <w:rFonts w:hint="eastAsia"/>
        </w:rPr>
        <w:t>μ</w:t>
      </w:r>
      <w:r w:rsidRPr="00B60938">
        <w:t xml:space="preserve">L) (0.25 g of sodium sulfite and 14.7 g of meta-bisulfite were dissolved in 100 mL water) were added to each well. The plate was incubated with gentle mixing on a plate shaker for 20 minutes at room temperature. After this time, the absorbance was measured (at </w:t>
      </w:r>
      <w:r w:rsidRPr="00B60938">
        <w:rPr>
          <w:rFonts w:ascii="Symbol" w:hAnsi="Symbol"/>
        </w:rPr>
        <w:t></w:t>
      </w:r>
      <w:r w:rsidRPr="00B60938">
        <w:t xml:space="preserve"> = 615 nm for </w:t>
      </w:r>
      <w:r w:rsidRPr="00B60938">
        <w:rPr>
          <w:i/>
        </w:rPr>
        <w:t>h</w:t>
      </w:r>
      <w:r w:rsidRPr="00B60938">
        <w:t xml:space="preserve">FPPS and 846 nm for </w:t>
      </w:r>
      <w:r w:rsidRPr="00B60938">
        <w:rPr>
          <w:i/>
        </w:rPr>
        <w:t>h</w:t>
      </w:r>
      <w:r w:rsidRPr="00B60938">
        <w:t>GGPPS) using a Microplate Reader (Tecan Microplate Reader Infinite M1000 PRO, Lifesciences). The control experiment was performed with the incubation mixture in the absence of enzyme for background deduction.</w:t>
      </w:r>
      <w:r w:rsidR="0022319A">
        <w:t xml:space="preserve"> </w:t>
      </w:r>
      <w:r w:rsidR="0022319A" w:rsidRPr="0022319A">
        <w:t>Percent inhibition was calculated from control wells without inhibitor; IC</w:t>
      </w:r>
      <w:r w:rsidR="0022319A" w:rsidRPr="0022319A">
        <w:rPr>
          <w:vertAlign w:val="subscript"/>
        </w:rPr>
        <w:t>50</w:t>
      </w:r>
      <w:r w:rsidR="0022319A" w:rsidRPr="0022319A">
        <w:t xml:space="preserve"> values were determined using GraphPad Prism 5, and are expressed as mean ± SD of five  independent measurements in triplicate.</w:t>
      </w:r>
    </w:p>
    <w:p w14:paraId="1DCE5223" w14:textId="77777777" w:rsidR="00303C47" w:rsidRPr="00B60938" w:rsidRDefault="00303C47">
      <w:pPr>
        <w:pStyle w:val="TAMainText"/>
        <w:rPr>
          <w:b/>
        </w:rPr>
      </w:pPr>
    </w:p>
    <w:p w14:paraId="0F31D9DE" w14:textId="02973FB1" w:rsidR="00303C47" w:rsidRPr="00B60938" w:rsidRDefault="0099555C">
      <w:pPr>
        <w:pStyle w:val="TAMainText"/>
        <w:outlineLvl w:val="0"/>
        <w:rPr>
          <w:b/>
        </w:rPr>
      </w:pPr>
      <w:r w:rsidRPr="00B60938">
        <w:rPr>
          <w:b/>
        </w:rPr>
        <w:t>3.</w:t>
      </w:r>
      <w:r w:rsidR="00303C47" w:rsidRPr="00B60938">
        <w:rPr>
          <w:b/>
        </w:rPr>
        <w:t>4 Hydroxyapatite (HAP) binding assay by ESI/MS</w:t>
      </w:r>
    </w:p>
    <w:p w14:paraId="067FC243" w14:textId="1FF4A75F" w:rsidR="00303C47" w:rsidRPr="00B60938" w:rsidRDefault="00303C47">
      <w:pPr>
        <w:pStyle w:val="TAMainText"/>
      </w:pPr>
      <w:r w:rsidRPr="00B60938">
        <w:rPr>
          <w:bCs/>
        </w:rPr>
        <w:t>A solution of each sodium salt N-BP of interest (100 µM) was prepared. It was divided into two aliquots (0.8 mL), to carry out the experiment in duplicate, then added with 1 mg of HAP powder</w:t>
      </w:r>
      <w:r w:rsidR="007868B7">
        <w:rPr>
          <w:bCs/>
        </w:rPr>
        <w:t xml:space="preserve"> </w:t>
      </w:r>
      <w:r w:rsidR="007868B7">
        <w:t>[54]</w:t>
      </w:r>
      <w:r w:rsidRPr="00B60938">
        <w:rPr>
          <w:bCs/>
        </w:rPr>
        <w:t>.</w:t>
      </w:r>
      <w:r w:rsidR="00E74290" w:rsidRPr="00913BF7">
        <w:rPr>
          <w:b/>
          <w:bCs/>
        </w:rPr>
        <w:t xml:space="preserve"> </w:t>
      </w:r>
      <w:r w:rsidRPr="00B60938">
        <w:rPr>
          <w:bCs/>
        </w:rPr>
        <w:t>After 5 minutes of incubation with gentle mixing, the aliquots were centrifuged for 10 minutes at 8,000 rpm (Eppendorf MiniSpin Microcentrifuge). The supernatants were filtered (0.22 µm syringe’s filter) and the clear solutions were analyzed by ESI-MS with an electrospray interface and an ion trap mass spectrometer (1100 Series LC/MSD Trap System Agilent Technologies). The ionization was achieved in the negative ion mode, the appropriated peaks were selected as [M-H]</w:t>
      </w:r>
      <w:r w:rsidRPr="00B60938">
        <w:rPr>
          <w:bCs/>
          <w:vertAlign w:val="superscript"/>
        </w:rPr>
        <w:t>-</w:t>
      </w:r>
      <w:r w:rsidRPr="00B60938">
        <w:rPr>
          <w:bCs/>
        </w:rPr>
        <w:t xml:space="preserve"> and [M-2H+Na]</w:t>
      </w:r>
      <w:r w:rsidRPr="00B60938">
        <w:rPr>
          <w:bCs/>
          <w:vertAlign w:val="superscript"/>
        </w:rPr>
        <w:t>-</w:t>
      </w:r>
      <w:r w:rsidRPr="00B60938">
        <w:rPr>
          <w:bCs/>
        </w:rPr>
        <w:t xml:space="preserve"> and the abundances were recorded. The unknown samples were quantified by a calibration curve.</w:t>
      </w:r>
    </w:p>
    <w:p w14:paraId="6E4C490C" w14:textId="77777777" w:rsidR="00303C47" w:rsidRPr="00B60938" w:rsidRDefault="00303C47">
      <w:pPr>
        <w:pStyle w:val="TAMainText"/>
        <w:ind w:firstLine="0"/>
      </w:pPr>
    </w:p>
    <w:p w14:paraId="7F9B40D9" w14:textId="6F26D676" w:rsidR="00303C47" w:rsidRPr="00335514" w:rsidRDefault="0099555C" w:rsidP="00CB7B52">
      <w:pPr>
        <w:spacing w:line="480" w:lineRule="auto"/>
        <w:ind w:firstLine="202"/>
        <w:jc w:val="both"/>
        <w:rPr>
          <w:b/>
          <w:lang w:val="it-IT"/>
        </w:rPr>
      </w:pPr>
      <w:r w:rsidRPr="00B60938">
        <w:rPr>
          <w:b/>
        </w:rPr>
        <w:lastRenderedPageBreak/>
        <w:t xml:space="preserve">3.5 </w:t>
      </w:r>
      <w:r w:rsidR="00303C47" w:rsidRPr="00B60938">
        <w:rPr>
          <w:b/>
        </w:rPr>
        <w:t xml:space="preserve"> Biological evaluation. </w:t>
      </w:r>
      <w:r w:rsidR="00303C47" w:rsidRPr="00335514">
        <w:rPr>
          <w:b/>
          <w:i/>
          <w:lang w:val="it-IT"/>
        </w:rPr>
        <w:t>In vitro</w:t>
      </w:r>
      <w:r w:rsidR="00303C47" w:rsidRPr="00335514">
        <w:rPr>
          <w:b/>
          <w:lang w:val="it-IT"/>
        </w:rPr>
        <w:t xml:space="preserve"> and </w:t>
      </w:r>
      <w:r w:rsidR="00303C47" w:rsidRPr="00335514">
        <w:rPr>
          <w:b/>
          <w:i/>
          <w:lang w:val="it-IT"/>
        </w:rPr>
        <w:t>ex vivo</w:t>
      </w:r>
      <w:r w:rsidR="00303C47" w:rsidRPr="00335514">
        <w:rPr>
          <w:b/>
          <w:lang w:val="it-IT"/>
        </w:rPr>
        <w:t xml:space="preserve"> assay</w:t>
      </w:r>
    </w:p>
    <w:p w14:paraId="0213CFD4" w14:textId="77777777" w:rsidR="00303C47" w:rsidRPr="00B60938" w:rsidRDefault="00303C47" w:rsidP="00E50862">
      <w:pPr>
        <w:spacing w:line="480" w:lineRule="auto"/>
        <w:ind w:firstLine="202"/>
        <w:jc w:val="both"/>
        <w:rPr>
          <w:vertAlign w:val="subscript"/>
        </w:rPr>
      </w:pPr>
      <w:r w:rsidRPr="00B60938">
        <w:t>Cell lines and murine bone marrow cells were cultured</w:t>
      </w:r>
      <w:r w:rsidRPr="00B60938">
        <w:rPr>
          <w:bCs/>
        </w:rPr>
        <w:t xml:space="preserve"> in medium </w:t>
      </w:r>
      <w:r w:rsidRPr="00B60938">
        <w:t>supplemented with 10% fetal bovine serum (FBS), 1% L-glutamine and 1% antibiotics (penicillin-streptomycin), under standard conditions, at 37 °C in a humidified atmosphere containing 5% CO</w:t>
      </w:r>
      <w:r w:rsidRPr="00B60938">
        <w:rPr>
          <w:vertAlign w:val="subscript"/>
        </w:rPr>
        <w:t>2</w:t>
      </w:r>
      <w:r w:rsidRPr="00B60938">
        <w:t>.</w:t>
      </w:r>
    </w:p>
    <w:p w14:paraId="4D18A965" w14:textId="1BD5C304" w:rsidR="00303C47" w:rsidRPr="00B60938" w:rsidRDefault="00303C47" w:rsidP="009E4114">
      <w:pPr>
        <w:spacing w:line="480" w:lineRule="auto"/>
        <w:jc w:val="both"/>
      </w:pPr>
      <w:r w:rsidRPr="00B60938">
        <w:t>PC3 human prostate cancer cells were cultured in Rosewell Park Memorial Institute 1640 Medium (RPMI),</w:t>
      </w:r>
      <w:r w:rsidRPr="00B60938">
        <w:rPr>
          <w:vertAlign w:val="superscript"/>
        </w:rPr>
        <w:t xml:space="preserve"> </w:t>
      </w:r>
      <w:r w:rsidRPr="00B60938">
        <w:t>MG63 human osteosarcoma cells were cultured in Dulbecco’s Modified Eagle’s Medium (DMEM),</w:t>
      </w:r>
      <w:r w:rsidR="00E74290" w:rsidRPr="00B60938">
        <w:t xml:space="preserve"> </w:t>
      </w:r>
      <w:r w:rsidRPr="00B60938">
        <w:rPr>
          <w:bCs/>
        </w:rPr>
        <w:t>MC3T3-E1 pre-osteoblastic like cells from mouse were cultured in Minimum Essential Medium (MEM),</w:t>
      </w:r>
      <w:r w:rsidR="00E74290" w:rsidRPr="00B60938">
        <w:t xml:space="preserve"> </w:t>
      </w:r>
      <w:r w:rsidRPr="00B60938">
        <w:rPr>
          <w:bCs/>
        </w:rPr>
        <w:t>J774A.1 pre-osteoclasts like cells from mouse were cultured in DMEM and</w:t>
      </w:r>
      <w:r w:rsidRPr="00B60938">
        <w:t xml:space="preserve"> </w:t>
      </w:r>
      <w:r w:rsidRPr="00B60938">
        <w:rPr>
          <w:bCs/>
        </w:rPr>
        <w:t>RAW 264.7 pre-osteoclasts like cells from mouse were cultured in MEM</w:t>
      </w:r>
      <w:r w:rsidR="007868B7">
        <w:rPr>
          <w:bCs/>
        </w:rPr>
        <w:t xml:space="preserve"> </w:t>
      </w:r>
      <w:r w:rsidR="007868B7">
        <w:t>[61,62]</w:t>
      </w:r>
      <w:r w:rsidRPr="00B60938">
        <w:rPr>
          <w:bCs/>
        </w:rPr>
        <w:t>.</w:t>
      </w:r>
      <w:r w:rsidR="00E74290" w:rsidRPr="00913BF7">
        <w:t xml:space="preserve"> </w:t>
      </w:r>
      <w:r w:rsidRPr="00E94337">
        <w:rPr>
          <w:bCs/>
        </w:rPr>
        <w:t xml:space="preserve">All cell lines were certified and provided by SIGMA-ALDRICH (Milan, Italy). </w:t>
      </w:r>
    </w:p>
    <w:p w14:paraId="46275612" w14:textId="77777777" w:rsidR="00303C47" w:rsidRPr="00B60938" w:rsidRDefault="00303C47" w:rsidP="00CB7B52">
      <w:pPr>
        <w:spacing w:line="480" w:lineRule="auto"/>
        <w:jc w:val="both"/>
        <w:rPr>
          <w:b/>
          <w:bCs/>
        </w:rPr>
      </w:pPr>
    </w:p>
    <w:p w14:paraId="6E1DBADE" w14:textId="74333F8B" w:rsidR="00303C47" w:rsidRPr="00B60938" w:rsidRDefault="0099555C" w:rsidP="00CB7B52">
      <w:pPr>
        <w:spacing w:line="480" w:lineRule="auto"/>
        <w:jc w:val="both"/>
        <w:rPr>
          <w:b/>
          <w:bCs/>
        </w:rPr>
      </w:pPr>
      <w:r w:rsidRPr="00B60938">
        <w:rPr>
          <w:b/>
          <w:bCs/>
        </w:rPr>
        <w:t>3.6</w:t>
      </w:r>
      <w:r w:rsidR="00303C47" w:rsidRPr="00B60938">
        <w:rPr>
          <w:b/>
          <w:bCs/>
        </w:rPr>
        <w:t xml:space="preserve"> Ethical Statements</w:t>
      </w:r>
    </w:p>
    <w:p w14:paraId="021170BF" w14:textId="3243EC1E" w:rsidR="00303C47" w:rsidRPr="00913BF7" w:rsidRDefault="00303C47" w:rsidP="00CB7B52">
      <w:pPr>
        <w:spacing w:line="480" w:lineRule="auto"/>
        <w:jc w:val="both"/>
        <w:rPr>
          <w:b/>
        </w:rPr>
      </w:pPr>
      <w:r w:rsidRPr="00B60938">
        <w:rPr>
          <w:bCs/>
        </w:rPr>
        <w:t xml:space="preserve">For </w:t>
      </w:r>
      <w:r w:rsidRPr="00B60938">
        <w:rPr>
          <w:bCs/>
          <w:i/>
        </w:rPr>
        <w:t>ex vivo</w:t>
      </w:r>
      <w:r w:rsidRPr="00B60938">
        <w:rPr>
          <w:bCs/>
        </w:rPr>
        <w:t xml:space="preserve"> experiments, bone marrow cells were isolated, under sterile condition, from the femoral and tibialis tissues</w:t>
      </w:r>
      <w:r w:rsidR="007868B7">
        <w:rPr>
          <w:bCs/>
        </w:rPr>
        <w:t xml:space="preserve"> </w:t>
      </w:r>
      <w:r w:rsidR="007868B7">
        <w:t>[63]</w:t>
      </w:r>
      <w:r w:rsidRPr="00B60938">
        <w:rPr>
          <w:bCs/>
        </w:rPr>
        <w:t>.</w:t>
      </w:r>
      <w:r w:rsidR="000B7B63" w:rsidRPr="007868B7">
        <w:rPr>
          <w:bCs/>
        </w:rPr>
        <w:t xml:space="preserve"> </w:t>
      </w:r>
      <w:r w:rsidRPr="00E94337">
        <w:rPr>
          <w:bCs/>
        </w:rPr>
        <w:t>In accordance to 3R RULE (DIRECTIVE 2010/63/EU) Replace, Reduce, Refine the tissues were collected from wild type male mice C57BL sacrificed for other scientific purposes (project: DGSAF0024012)</w:t>
      </w:r>
      <w:r w:rsidR="007868B7">
        <w:rPr>
          <w:bCs/>
        </w:rPr>
        <w:t xml:space="preserve"> </w:t>
      </w:r>
      <w:r w:rsidR="007868B7">
        <w:t>[63]</w:t>
      </w:r>
      <w:r w:rsidRPr="00E94337">
        <w:rPr>
          <w:bCs/>
        </w:rPr>
        <w:t>.</w:t>
      </w:r>
    </w:p>
    <w:p w14:paraId="56481AB8" w14:textId="77777777" w:rsidR="00CB7B52" w:rsidRPr="00B60938" w:rsidRDefault="00CB7B52" w:rsidP="00CB7B52">
      <w:pPr>
        <w:spacing w:line="480" w:lineRule="auto"/>
        <w:ind w:firstLine="202"/>
        <w:jc w:val="both"/>
        <w:rPr>
          <w:b/>
        </w:rPr>
      </w:pPr>
    </w:p>
    <w:p w14:paraId="721EFD64" w14:textId="6B764F55" w:rsidR="00303C47" w:rsidRPr="00B60938" w:rsidRDefault="0099555C" w:rsidP="00CB7B52">
      <w:pPr>
        <w:spacing w:line="480" w:lineRule="auto"/>
        <w:ind w:firstLine="202"/>
        <w:jc w:val="both"/>
        <w:rPr>
          <w:b/>
        </w:rPr>
      </w:pPr>
      <w:r w:rsidRPr="00B60938">
        <w:rPr>
          <w:b/>
        </w:rPr>
        <w:t xml:space="preserve">3.7 </w:t>
      </w:r>
      <w:r w:rsidR="00303C47" w:rsidRPr="00B60938">
        <w:rPr>
          <w:b/>
        </w:rPr>
        <w:t xml:space="preserve"> Crystal violet assay</w:t>
      </w:r>
    </w:p>
    <w:p w14:paraId="29EBD367" w14:textId="2DF86C1B" w:rsidR="00303C47" w:rsidRPr="00B60938" w:rsidRDefault="00303C47" w:rsidP="00E50862">
      <w:pPr>
        <w:spacing w:line="480" w:lineRule="auto"/>
        <w:ind w:firstLine="202"/>
        <w:jc w:val="both"/>
        <w:rPr>
          <w:bCs/>
        </w:rPr>
      </w:pPr>
      <w:r w:rsidRPr="00B60938">
        <w:rPr>
          <w:bCs/>
        </w:rPr>
        <w:t xml:space="preserve">Cell number was assessed indirectly by staining with crystal violet dye, </w:t>
      </w:r>
      <w:r w:rsidRPr="00B60938">
        <w:t>binding ribose type molecules such as DNA in nuclei, so that</w:t>
      </w:r>
      <w:r w:rsidRPr="00B60938">
        <w:rPr>
          <w:bCs/>
        </w:rPr>
        <w:t xml:space="preserve"> the total amount of cell-bound dye was proportional to cell number</w:t>
      </w:r>
      <w:r w:rsidR="007868B7">
        <w:rPr>
          <w:bCs/>
        </w:rPr>
        <w:t xml:space="preserve"> </w:t>
      </w:r>
      <w:r w:rsidR="007868B7">
        <w:t>[64,65]</w:t>
      </w:r>
      <w:r w:rsidRPr="00B60938">
        <w:rPr>
          <w:bCs/>
        </w:rPr>
        <w:t>.</w:t>
      </w:r>
      <w:r w:rsidR="00F76D1C" w:rsidRPr="00913BF7">
        <w:rPr>
          <w:bCs/>
          <w:vertAlign w:val="superscript"/>
        </w:rPr>
        <w:t xml:space="preserve"> </w:t>
      </w:r>
      <w:r w:rsidRPr="00E94337">
        <w:rPr>
          <w:bCs/>
        </w:rPr>
        <w:t>The cells were seeded in 96-well plates at a density of 8 x 10</w:t>
      </w:r>
      <w:r w:rsidRPr="000268D2">
        <w:rPr>
          <w:bCs/>
          <w:vertAlign w:val="superscript"/>
        </w:rPr>
        <w:t>3</w:t>
      </w:r>
      <w:r w:rsidRPr="000268D2">
        <w:rPr>
          <w:bCs/>
        </w:rPr>
        <w:t xml:space="preserve"> cells/well and pre-incubated for 24 h in a humidified atmosphere; </w:t>
      </w:r>
      <w:r w:rsidRPr="00B60938">
        <w:t>cells were counted using Scepter™ 2.0 (Mer</w:t>
      </w:r>
      <w:r w:rsidR="008A306E" w:rsidRPr="00B60938">
        <w:t>c</w:t>
      </w:r>
      <w:r w:rsidRPr="00B60938">
        <w:t>k Millipore Corporation, New York, USA) that used an impedentiometric method.</w:t>
      </w:r>
      <w:r w:rsidRPr="00B60938">
        <w:rPr>
          <w:bCs/>
        </w:rPr>
        <w:t xml:space="preserve"> After this time of incubation, different concentrations of the drug solution (</w:t>
      </w:r>
      <w:r w:rsidRPr="00B60938">
        <w:rPr>
          <w:b/>
          <w:bCs/>
        </w:rPr>
        <w:t>10</w:t>
      </w:r>
      <w:r w:rsidRPr="00B60938">
        <w:rPr>
          <w:bCs/>
        </w:rPr>
        <w:t xml:space="preserve">, ZOL, ALE, RIS) were added. Each drug solution was obtained by diluting the drug stock solutions in phosphate buffered saline (PBS). </w:t>
      </w:r>
      <w:r w:rsidRPr="00B60938">
        <w:t xml:space="preserve">The control condition was obtained culturing cells without drugs, the negative control was obtained </w:t>
      </w:r>
      <w:r w:rsidRPr="00B60938">
        <w:lastRenderedPageBreak/>
        <w:t>incubating cell with Staurosporine (STS)</w:t>
      </w:r>
      <w:r w:rsidRPr="00B60938">
        <w:rPr>
          <w:bCs/>
        </w:rPr>
        <w:t xml:space="preserve"> from </w:t>
      </w:r>
      <w:r w:rsidRPr="00B60938">
        <w:rPr>
          <w:bCs/>
          <w:i/>
        </w:rPr>
        <w:t>Streptomyces</w:t>
      </w:r>
      <w:r w:rsidRPr="00B60938">
        <w:rPr>
          <w:bCs/>
        </w:rPr>
        <w:t xml:space="preserve"> sp. After incubation for an appropriate time (72 h), the cell viability was determined by crystal violet staining. In details, after incubation, the medium was removed, the cells were gently rinsed with PBS, were fixed with 10% formaldehyde/PBS for 15 min and were stained for 10 min at room temperature with crystal violet dye (0.1% w/v in dd H</w:t>
      </w:r>
      <w:r w:rsidRPr="00B60938">
        <w:rPr>
          <w:bCs/>
          <w:vertAlign w:val="subscript"/>
        </w:rPr>
        <w:t>2</w:t>
      </w:r>
      <w:r w:rsidRPr="00B60938">
        <w:rPr>
          <w:bCs/>
        </w:rPr>
        <w:t xml:space="preserve">O); after staining, the cells were washed four times with water and then dried. Then, the cells were lysed with 10% acetic acid and the absorbance was measured at </w:t>
      </w:r>
      <w:r w:rsidRPr="00B60938">
        <w:rPr>
          <w:rFonts w:ascii="Symbol" w:hAnsi="Symbol"/>
          <w:bCs/>
        </w:rPr>
        <w:t></w:t>
      </w:r>
      <w:r w:rsidRPr="00B60938">
        <w:rPr>
          <w:bCs/>
        </w:rPr>
        <w:t xml:space="preserve"> = 590 nm using a microplate reader (Victor 3V PerkinElmer). </w:t>
      </w:r>
      <w:r w:rsidRPr="00B60938">
        <w:rPr>
          <w:bCs/>
          <w:lang w:val="en-GB"/>
        </w:rPr>
        <w:t>The changes of the cell viability were expressed as percentage (%) of changes of cell viability induced by drugs or toxin with respect to the control.</w:t>
      </w:r>
      <w:r w:rsidRPr="00B60938">
        <w:rPr>
          <w:bCs/>
          <w:vertAlign w:val="superscript"/>
        </w:rPr>
        <w:t xml:space="preserve"> </w:t>
      </w:r>
      <w:r w:rsidRPr="00B60938">
        <w:rPr>
          <w:bCs/>
        </w:rPr>
        <w:t>Each experiment was carried out in triplicate.</w:t>
      </w:r>
    </w:p>
    <w:p w14:paraId="2BA6E0F5" w14:textId="77777777" w:rsidR="00C75139" w:rsidRPr="00B60938" w:rsidRDefault="00C75139" w:rsidP="00E50862">
      <w:pPr>
        <w:spacing w:line="480" w:lineRule="auto"/>
        <w:ind w:firstLine="202"/>
        <w:jc w:val="both"/>
        <w:rPr>
          <w:bCs/>
        </w:rPr>
      </w:pPr>
    </w:p>
    <w:p w14:paraId="5719DA60" w14:textId="359A6100" w:rsidR="00303C47" w:rsidRPr="00B60938" w:rsidRDefault="0099555C" w:rsidP="00E50862">
      <w:pPr>
        <w:spacing w:line="480" w:lineRule="auto"/>
        <w:ind w:firstLine="202"/>
        <w:jc w:val="both"/>
        <w:rPr>
          <w:b/>
        </w:rPr>
      </w:pPr>
      <w:r w:rsidRPr="00B60938">
        <w:rPr>
          <w:b/>
        </w:rPr>
        <w:t>3.8</w:t>
      </w:r>
      <w:r w:rsidR="00303C47" w:rsidRPr="00B60938">
        <w:rPr>
          <w:b/>
        </w:rPr>
        <w:t>. CCK-8 Intracellular dehydrogenase assay</w:t>
      </w:r>
      <w:r w:rsidR="00303C47" w:rsidRPr="00B60938">
        <w:rPr>
          <w:bCs/>
        </w:rPr>
        <w:t xml:space="preserve"> </w:t>
      </w:r>
    </w:p>
    <w:p w14:paraId="15DB8B6A" w14:textId="2DC25289" w:rsidR="00303C47" w:rsidRPr="000268D2" w:rsidRDefault="00303C47" w:rsidP="009E4114">
      <w:pPr>
        <w:spacing w:line="480" w:lineRule="auto"/>
        <w:jc w:val="both"/>
        <w:rPr>
          <w:bCs/>
        </w:rPr>
      </w:pPr>
      <w:r w:rsidRPr="00B60938">
        <w:rPr>
          <w:bCs/>
        </w:rPr>
        <w:t>The activity of the intracellular dehydrogenases was assessed by using the Cell Counting Kit-8 (CCK- 8) (Sigma Aldrich, Mi) that utilizes highly water-soluble tetrazolium salt. WST-8 2-(2-methoxy-4-nitrophenyl)-3-(4-nitrophenyl)-5-(2,4-disulfophenyl)-2H-tetrazolium monosodium salt produces a water-soluble formazan dye upon reduction in the presence of an electron carrier. It is reduced by dehydrogenases in cells to give an orange colored product (formazan), which is soluble in the culture medium. The detection sensitivity of CCK-8 is higher than other tetrazolium salts</w:t>
      </w:r>
      <w:r w:rsidR="00570227">
        <w:rPr>
          <w:bCs/>
        </w:rPr>
        <w:t xml:space="preserve"> </w:t>
      </w:r>
      <w:r w:rsidR="00570227">
        <w:t>[65]</w:t>
      </w:r>
      <w:r w:rsidRPr="00B60938">
        <w:rPr>
          <w:bCs/>
        </w:rPr>
        <w:t>.</w:t>
      </w:r>
      <w:r w:rsidR="00F76D1C" w:rsidRPr="00913BF7">
        <w:rPr>
          <w:bCs/>
        </w:rPr>
        <w:t xml:space="preserve"> </w:t>
      </w:r>
      <w:r w:rsidRPr="00B60938">
        <w:rPr>
          <w:bCs/>
        </w:rPr>
        <w:t>The cells were seeded in 96-well plates at a density of 8 x 10</w:t>
      </w:r>
      <w:r w:rsidRPr="00B60938">
        <w:rPr>
          <w:bCs/>
          <w:vertAlign w:val="superscript"/>
        </w:rPr>
        <w:t>3</w:t>
      </w:r>
      <w:r w:rsidRPr="00B60938">
        <w:rPr>
          <w:bCs/>
        </w:rPr>
        <w:t xml:space="preserve"> cells/well and pre-incubated for 24 h under a humidified </w:t>
      </w:r>
      <w:r w:rsidRPr="00B60938">
        <w:t>atmosphere</w:t>
      </w:r>
      <w:r w:rsidRPr="00B60938">
        <w:rPr>
          <w:bCs/>
        </w:rPr>
        <w:t xml:space="preserve">. Then, different concentrations of the drug solution were added. After 72 h, CCK-8 solution (10 μL) was added to each well. The absorbance at </w:t>
      </w:r>
      <w:r w:rsidRPr="00B60938">
        <w:rPr>
          <w:rFonts w:ascii="Symbol" w:hAnsi="Symbol"/>
          <w:bCs/>
        </w:rPr>
        <w:t></w:t>
      </w:r>
      <w:r w:rsidRPr="00B60938">
        <w:rPr>
          <w:bCs/>
        </w:rPr>
        <w:t xml:space="preserve"> = 450 nm was measured after 2 h of incubation with CCK-8 solution, using a microplate reader. </w:t>
      </w:r>
      <w:r w:rsidRPr="00B60938">
        <w:rPr>
          <w:bCs/>
          <w:lang w:val="en-GB"/>
        </w:rPr>
        <w:t>The changes of the cell viability were expressed as percentage (%) changes of cell viability induced by drugs and toxin with respect to the control. Each experiment was carried out in triplicate.</w:t>
      </w:r>
    </w:p>
    <w:p w14:paraId="2280229F" w14:textId="77777777" w:rsidR="00303C47" w:rsidRPr="00913BF7" w:rsidRDefault="00303C47" w:rsidP="00BA1AC8">
      <w:pPr>
        <w:spacing w:line="480" w:lineRule="auto"/>
        <w:jc w:val="both"/>
        <w:rPr>
          <w:bCs/>
          <w:vertAlign w:val="superscript"/>
          <w:lang w:val="en-GB"/>
        </w:rPr>
      </w:pPr>
    </w:p>
    <w:p w14:paraId="28BD01AF" w14:textId="173E9AA0" w:rsidR="00303C47" w:rsidRPr="00B60938" w:rsidRDefault="000C112C" w:rsidP="00C75139">
      <w:pPr>
        <w:spacing w:line="480" w:lineRule="auto"/>
        <w:ind w:firstLine="202"/>
        <w:jc w:val="both"/>
        <w:rPr>
          <w:bCs/>
          <w:lang w:val="en-GB"/>
        </w:rPr>
      </w:pPr>
      <w:r w:rsidRPr="00B60938">
        <w:rPr>
          <w:b/>
        </w:rPr>
        <w:t xml:space="preserve">3.9 </w:t>
      </w:r>
      <w:r w:rsidR="00303C47" w:rsidRPr="00B60938">
        <w:rPr>
          <w:b/>
        </w:rPr>
        <w:t xml:space="preserve"> Mineralization assay</w:t>
      </w:r>
    </w:p>
    <w:p w14:paraId="75F65AD5" w14:textId="31255A69" w:rsidR="00303C47" w:rsidRPr="00B60938" w:rsidRDefault="00303C47" w:rsidP="00C75139">
      <w:pPr>
        <w:spacing w:line="480" w:lineRule="auto"/>
        <w:ind w:firstLine="202"/>
        <w:jc w:val="both"/>
        <w:rPr>
          <w:bCs/>
        </w:rPr>
      </w:pPr>
      <w:r w:rsidRPr="00B60938">
        <w:lastRenderedPageBreak/>
        <w:t>This assay was performed to evaluate cells capability to mineralize, that is their ability to create calcium deposits or nodules</w:t>
      </w:r>
      <w:r w:rsidR="00570227">
        <w:t xml:space="preserve"> [64]</w:t>
      </w:r>
      <w:r w:rsidRPr="00B60938">
        <w:t>.</w:t>
      </w:r>
      <w:r w:rsidR="00364BBB" w:rsidRPr="00913BF7">
        <w:rPr>
          <w:bCs/>
        </w:rPr>
        <w:t xml:space="preserve"> </w:t>
      </w:r>
      <w:r w:rsidRPr="00E94337">
        <w:t>Because only mature osteoblasts are able to produce inorganic matrix, it was necessary to express a mature</w:t>
      </w:r>
      <w:r w:rsidRPr="00B60938">
        <w:t xml:space="preserve"> osteoblast phenotype. Differentiation was induced using mineralization medium (MM), obtained by the addition of 100 ng/mL ascorbic acid and 10 mM β-glycerophosphate (Sigma, USA) to standard growth medium </w:t>
      </w:r>
      <w:r w:rsidRPr="00B60938">
        <w:rPr>
          <w:bCs/>
        </w:rPr>
        <w:t>(MEM</w:t>
      </w:r>
      <w:r w:rsidRPr="00B60938">
        <w:rPr>
          <w:bCs/>
          <w:vertAlign w:val="superscript"/>
        </w:rPr>
        <w:t>+</w:t>
      </w:r>
      <w:r w:rsidRPr="00B60938">
        <w:rPr>
          <w:bCs/>
        </w:rPr>
        <w:t xml:space="preserve"> for MC3T3-E1 cells and DMEM</w:t>
      </w:r>
      <w:r w:rsidRPr="00B60938">
        <w:rPr>
          <w:bCs/>
          <w:vertAlign w:val="superscript"/>
        </w:rPr>
        <w:t>+</w:t>
      </w:r>
      <w:r w:rsidRPr="00B60938">
        <w:rPr>
          <w:bCs/>
        </w:rPr>
        <w:t xml:space="preserve"> for bone marrow cells). The cells (1x10</w:t>
      </w:r>
      <w:r w:rsidRPr="00B60938">
        <w:rPr>
          <w:bCs/>
          <w:vertAlign w:val="superscript"/>
        </w:rPr>
        <w:t>6</w:t>
      </w:r>
      <w:r w:rsidRPr="00B60938">
        <w:rPr>
          <w:bCs/>
        </w:rPr>
        <w:t xml:space="preserve"> cells/mL/well) were cultured in MM using 12 and 24 well plates in the presence of different concentrations of the drug solution for approximately 10-15 days at 37 °C in a humidified 5 % CO</w:t>
      </w:r>
      <w:r w:rsidRPr="00B60938">
        <w:rPr>
          <w:bCs/>
          <w:vertAlign w:val="subscript"/>
        </w:rPr>
        <w:t>2</w:t>
      </w:r>
      <w:r w:rsidRPr="00B60938">
        <w:rPr>
          <w:bCs/>
        </w:rPr>
        <w:t xml:space="preserve"> atmosphere. The medium was changed every 3 days by adding fresh medium. After culture, cells were stained with </w:t>
      </w:r>
      <w:r w:rsidRPr="00B60938">
        <w:t>the Alizarin Red solution 2% m/v</w:t>
      </w:r>
      <w:r w:rsidRPr="00B60938">
        <w:rPr>
          <w:bCs/>
        </w:rPr>
        <w:t xml:space="preserve"> and washed for 3 times with PBS. </w:t>
      </w:r>
      <w:r w:rsidRPr="00B60938">
        <w:t xml:space="preserve">Alizarin Red is an anthraquinone derivative able to form an Alizarin Red S-calcium complex in a chelation process, forming a product that is a bright red stain. </w:t>
      </w:r>
      <w:r w:rsidRPr="00B60938">
        <w:rPr>
          <w:bCs/>
        </w:rPr>
        <w:t xml:space="preserve">For quantitation, 10 % acetic acid solution was added to each well to elute the dye. After complete elution, the absorbance at </w:t>
      </w:r>
      <w:r w:rsidRPr="00B60938">
        <w:rPr>
          <w:rFonts w:ascii="Symbol" w:hAnsi="Symbol"/>
          <w:bCs/>
        </w:rPr>
        <w:t></w:t>
      </w:r>
      <w:r w:rsidRPr="00B60938">
        <w:rPr>
          <w:bCs/>
        </w:rPr>
        <w:t xml:space="preserve"> = 405 nm on a microliter plate reader was measured. </w:t>
      </w:r>
      <w:r w:rsidRPr="00B60938">
        <w:t>The changes of mineralization ability were expressed as percentage (%) changes of mineralization induced by drugs with respect to the control. The experiment was carried out in triplicate.</w:t>
      </w:r>
    </w:p>
    <w:p w14:paraId="0707896E" w14:textId="77777777" w:rsidR="00303C47" w:rsidRPr="00B60938" w:rsidRDefault="00303C47" w:rsidP="00AD47FF">
      <w:pPr>
        <w:spacing w:line="480" w:lineRule="auto"/>
        <w:ind w:firstLine="202"/>
        <w:jc w:val="both"/>
        <w:rPr>
          <w:b/>
        </w:rPr>
      </w:pPr>
    </w:p>
    <w:p w14:paraId="472FF1BD" w14:textId="004B49A0" w:rsidR="00303C47" w:rsidRPr="00B60938" w:rsidRDefault="000C112C" w:rsidP="00AD47FF">
      <w:pPr>
        <w:spacing w:line="480" w:lineRule="auto"/>
        <w:ind w:firstLine="202"/>
        <w:jc w:val="both"/>
        <w:rPr>
          <w:bCs/>
          <w:i/>
        </w:rPr>
      </w:pPr>
      <w:r w:rsidRPr="00B60938">
        <w:rPr>
          <w:b/>
        </w:rPr>
        <w:t xml:space="preserve">3.10 </w:t>
      </w:r>
      <w:r w:rsidR="00303C47" w:rsidRPr="00B60938">
        <w:rPr>
          <w:b/>
        </w:rPr>
        <w:t xml:space="preserve"> Mineralization co-culture assay</w:t>
      </w:r>
    </w:p>
    <w:p w14:paraId="1559C305" w14:textId="33DA3E0C" w:rsidR="00303C47" w:rsidRPr="00B60938" w:rsidRDefault="00303C47" w:rsidP="00FA303D">
      <w:pPr>
        <w:spacing w:line="480" w:lineRule="auto"/>
        <w:ind w:firstLine="202"/>
        <w:jc w:val="both"/>
      </w:pPr>
      <w:r w:rsidRPr="00B60938">
        <w:rPr>
          <w:rFonts w:cs="Times"/>
        </w:rPr>
        <w:t>The capability of a number of BPs in inducing mineralization in bone marrow cells was also investigated in co-culture in the presence of prostate cancer cells. Bone marrow cells (1x10</w:t>
      </w:r>
      <w:r w:rsidRPr="00B60938">
        <w:rPr>
          <w:rFonts w:cs="Times"/>
          <w:position w:val="10"/>
        </w:rPr>
        <w:t xml:space="preserve">5 </w:t>
      </w:r>
      <w:r w:rsidRPr="00B60938">
        <w:rPr>
          <w:rFonts w:cs="Times"/>
        </w:rPr>
        <w:t>cells/ml/well) were cultured for 2 days, and then the cells were co-cultured with PC3 cells (1x10</w:t>
      </w:r>
      <w:r w:rsidRPr="00B60938">
        <w:rPr>
          <w:rFonts w:cs="Times"/>
          <w:position w:val="10"/>
        </w:rPr>
        <w:t>4</w:t>
      </w:r>
      <w:r w:rsidRPr="00B60938">
        <w:rPr>
          <w:rFonts w:cs="Times"/>
        </w:rPr>
        <w:t>/ml/well) in MM in the presence or absence of drugs at different concentrations for 10-15 days at 37 °C in a humidified 5 % CO</w:t>
      </w:r>
      <w:r w:rsidRPr="00B60938">
        <w:rPr>
          <w:rFonts w:cs="Times"/>
          <w:position w:val="-6"/>
        </w:rPr>
        <w:t xml:space="preserve">2 </w:t>
      </w:r>
      <w:r w:rsidRPr="00B60938">
        <w:rPr>
          <w:rFonts w:cs="Times"/>
        </w:rPr>
        <w:t xml:space="preserve">atmosphere; </w:t>
      </w:r>
      <w:r w:rsidRPr="00B60938">
        <w:rPr>
          <w:bCs/>
        </w:rPr>
        <w:t xml:space="preserve">the medium was changed every 3 days by adding fresh medium. After culture, cells were stained with Alizarin red and washed for 3 times with PBS. For quantitation, 10 % acetic acid solution was added to each well to elute the dye. After complete elution, the absorbance at </w:t>
      </w:r>
      <w:r w:rsidRPr="00B60938">
        <w:rPr>
          <w:rFonts w:ascii="Symbol" w:hAnsi="Symbol"/>
          <w:bCs/>
        </w:rPr>
        <w:t></w:t>
      </w:r>
      <w:r w:rsidRPr="00B60938">
        <w:rPr>
          <w:bCs/>
        </w:rPr>
        <w:t xml:space="preserve"> = 405 nm on a microliter plate reader was measured</w:t>
      </w:r>
      <w:r w:rsidR="00570227">
        <w:rPr>
          <w:bCs/>
        </w:rPr>
        <w:t xml:space="preserve"> </w:t>
      </w:r>
      <w:r w:rsidR="00570227">
        <w:t>[66]</w:t>
      </w:r>
      <w:r w:rsidRPr="00B60938">
        <w:rPr>
          <w:bCs/>
        </w:rPr>
        <w:t>.</w:t>
      </w:r>
      <w:r w:rsidR="00F76D1C" w:rsidRPr="00913BF7">
        <w:t xml:space="preserve"> </w:t>
      </w:r>
      <w:r w:rsidRPr="00E94337">
        <w:t xml:space="preserve">The changes </w:t>
      </w:r>
      <w:r w:rsidRPr="00E94337">
        <w:lastRenderedPageBreak/>
        <w:t>of mineralization ability were expressed as percentage (%) changes of mineralization induced by drugs with respect to the control. The experiment was carried out in triplicate.</w:t>
      </w:r>
    </w:p>
    <w:p w14:paraId="2F9B44C0" w14:textId="77777777" w:rsidR="00303C47" w:rsidRPr="00B60938" w:rsidRDefault="00303C47" w:rsidP="00313F11">
      <w:pPr>
        <w:spacing w:line="480" w:lineRule="auto"/>
        <w:ind w:firstLine="202"/>
        <w:jc w:val="both"/>
        <w:rPr>
          <w:bCs/>
          <w:vertAlign w:val="superscript"/>
        </w:rPr>
      </w:pPr>
    </w:p>
    <w:p w14:paraId="72A93A7C" w14:textId="63543093" w:rsidR="00303C47" w:rsidRPr="00B60938" w:rsidRDefault="000C112C" w:rsidP="00CB7B52">
      <w:pPr>
        <w:widowControl w:val="0"/>
        <w:autoSpaceDE w:val="0"/>
        <w:autoSpaceDN w:val="0"/>
        <w:adjustRightInd w:val="0"/>
        <w:spacing w:line="480" w:lineRule="auto"/>
        <w:ind w:firstLine="202"/>
        <w:jc w:val="both"/>
        <w:outlineLvl w:val="0"/>
        <w:rPr>
          <w:rFonts w:cs="Times"/>
          <w:i/>
        </w:rPr>
      </w:pPr>
      <w:r w:rsidRPr="00B60938">
        <w:rPr>
          <w:b/>
        </w:rPr>
        <w:t xml:space="preserve">3.11 </w:t>
      </w:r>
      <w:r w:rsidR="00303C47" w:rsidRPr="00B60938">
        <w:rPr>
          <w:b/>
        </w:rPr>
        <w:t xml:space="preserve"> Osteoclast differentiation </w:t>
      </w:r>
    </w:p>
    <w:p w14:paraId="6135A4DA" w14:textId="7967D6EE" w:rsidR="00303C47" w:rsidRPr="00B60938" w:rsidRDefault="00303C47">
      <w:pPr>
        <w:widowControl w:val="0"/>
        <w:autoSpaceDE w:val="0"/>
        <w:autoSpaceDN w:val="0"/>
        <w:adjustRightInd w:val="0"/>
        <w:spacing w:after="240" w:line="480" w:lineRule="auto"/>
        <w:ind w:firstLine="204"/>
        <w:jc w:val="both"/>
        <w:outlineLvl w:val="0"/>
        <w:rPr>
          <w:rFonts w:cs="Times"/>
          <w:i/>
        </w:rPr>
      </w:pPr>
      <w:r w:rsidRPr="00B60938">
        <w:rPr>
          <w:bCs/>
          <w:lang w:val="en-GB"/>
        </w:rPr>
        <w:t>As far as pre-osteoclasts like cells</w:t>
      </w:r>
      <w:r w:rsidRPr="00B60938">
        <w:rPr>
          <w:rFonts w:cs="Times"/>
        </w:rPr>
        <w:t xml:space="preserve"> RAW 264.7 </w:t>
      </w:r>
      <w:r w:rsidRPr="00B60938">
        <w:rPr>
          <w:bCs/>
          <w:lang w:val="en-GB"/>
        </w:rPr>
        <w:t>differentiation is concerned</w:t>
      </w:r>
      <w:r w:rsidRPr="00B60938">
        <w:rPr>
          <w:rFonts w:cs="Times"/>
        </w:rPr>
        <w:t>, cells were incubated at 8x10</w:t>
      </w:r>
      <w:r w:rsidRPr="00B60938">
        <w:rPr>
          <w:rFonts w:cs="Times"/>
          <w:position w:val="10"/>
        </w:rPr>
        <w:t xml:space="preserve">4 </w:t>
      </w:r>
      <w:r w:rsidRPr="00B60938">
        <w:rPr>
          <w:rFonts w:cs="Times"/>
        </w:rPr>
        <w:t xml:space="preserve">cells/mL/well in 6-well plates for 7 days with </w:t>
      </w:r>
      <w:r w:rsidRPr="00B60938">
        <w:rPr>
          <w:bCs/>
        </w:rPr>
        <w:t>MEM</w:t>
      </w:r>
      <w:r w:rsidRPr="00B60938">
        <w:rPr>
          <w:bCs/>
          <w:vertAlign w:val="superscript"/>
        </w:rPr>
        <w:t>+</w:t>
      </w:r>
      <w:r w:rsidRPr="00B60938">
        <w:rPr>
          <w:rFonts w:cs="Times"/>
        </w:rPr>
        <w:t xml:space="preserve"> containing Receptor activator of NF-κB Ligand (RANKL, 50 ng/ml)</w:t>
      </w:r>
      <w:r w:rsidR="00570227">
        <w:rPr>
          <w:rFonts w:cs="Times"/>
        </w:rPr>
        <w:t xml:space="preserve"> </w:t>
      </w:r>
      <w:r w:rsidR="00570227">
        <w:t>[67]</w:t>
      </w:r>
      <w:r w:rsidRPr="00B60938">
        <w:rPr>
          <w:rFonts w:cs="Times"/>
        </w:rPr>
        <w:t>.</w:t>
      </w:r>
      <w:r w:rsidRPr="00913BF7">
        <w:rPr>
          <w:rFonts w:cs="Times"/>
        </w:rPr>
        <w:t xml:space="preserve"> The medium was refreshed every 2 days. Differentiated RAW 264.7 cells were treated with drugs for 72 h.</w:t>
      </w:r>
      <w:r w:rsidRPr="00E94337">
        <w:rPr>
          <w:bCs/>
          <w:vertAlign w:val="superscript"/>
        </w:rPr>
        <w:t xml:space="preserve"> </w:t>
      </w:r>
      <w:r w:rsidRPr="00E94337">
        <w:rPr>
          <w:bCs/>
        </w:rPr>
        <w:t>Dehydrogenases</w:t>
      </w:r>
      <w:r w:rsidRPr="000268D2">
        <w:rPr>
          <w:bCs/>
        </w:rPr>
        <w:t xml:space="preserve"> activity and cell</w:t>
      </w:r>
      <w:r w:rsidRPr="000268D2">
        <w:rPr>
          <w:rFonts w:cs="Times"/>
        </w:rPr>
        <w:t xml:space="preserve"> viability were assessed by CCK8 assay and CV assay. </w:t>
      </w:r>
      <w:r w:rsidRPr="00B60938">
        <w:t>The experiments were carried out in triplicate.</w:t>
      </w:r>
    </w:p>
    <w:p w14:paraId="62021822" w14:textId="032FDB5C" w:rsidR="00303C47" w:rsidRPr="00B60938" w:rsidRDefault="000C112C">
      <w:pPr>
        <w:widowControl w:val="0"/>
        <w:autoSpaceDE w:val="0"/>
        <w:autoSpaceDN w:val="0"/>
        <w:adjustRightInd w:val="0"/>
        <w:spacing w:after="240" w:line="480" w:lineRule="auto"/>
        <w:ind w:firstLine="204"/>
        <w:jc w:val="both"/>
        <w:rPr>
          <w:rFonts w:cs="Times"/>
        </w:rPr>
      </w:pPr>
      <w:r w:rsidRPr="00B60938">
        <w:rPr>
          <w:b/>
        </w:rPr>
        <w:t xml:space="preserve">3.12 </w:t>
      </w:r>
      <w:r w:rsidR="00303C47" w:rsidRPr="00B60938">
        <w:rPr>
          <w:b/>
        </w:rPr>
        <w:t xml:space="preserve"> Tartrate-resistant acid phosphatase (TRAP) staining</w:t>
      </w:r>
      <w:r w:rsidR="00303C47" w:rsidRPr="00B60938">
        <w:rPr>
          <w:b/>
        </w:rPr>
        <w:tab/>
      </w:r>
    </w:p>
    <w:p w14:paraId="0564C17F" w14:textId="277AB60E" w:rsidR="00303C47" w:rsidRPr="00B60938" w:rsidRDefault="00303C47">
      <w:pPr>
        <w:widowControl w:val="0"/>
        <w:autoSpaceDE w:val="0"/>
        <w:autoSpaceDN w:val="0"/>
        <w:adjustRightInd w:val="0"/>
        <w:spacing w:after="240" w:line="480" w:lineRule="auto"/>
        <w:jc w:val="both"/>
        <w:rPr>
          <w:rFonts w:cs="Times"/>
        </w:rPr>
      </w:pPr>
      <w:r w:rsidRPr="00B60938">
        <w:rPr>
          <w:rFonts w:cs="Times"/>
          <w:iCs/>
        </w:rPr>
        <w:t xml:space="preserve"> </w:t>
      </w:r>
      <w:r w:rsidRPr="00B60938">
        <w:t xml:space="preserve">TRAP kit (Sigma-Aldrich, St. Louis, USA) was used to demonstrate the presence of tartrate resistant acid phosphatase in mature osteoclasts. </w:t>
      </w:r>
      <w:r w:rsidRPr="00B60938">
        <w:rPr>
          <w:rFonts w:cs="Times"/>
        </w:rPr>
        <w:t>RAW 264.7 cells were plated in a 6-well culture dish and the differentiation process was induced using RANKL (50 ng/mL)</w:t>
      </w:r>
      <w:r w:rsidR="00570227">
        <w:rPr>
          <w:rFonts w:cs="Times"/>
        </w:rPr>
        <w:t xml:space="preserve"> </w:t>
      </w:r>
      <w:r w:rsidR="00570227">
        <w:t>[67]</w:t>
      </w:r>
      <w:r w:rsidRPr="00B60938">
        <w:rPr>
          <w:rFonts w:cs="Times"/>
        </w:rPr>
        <w:t>.</w:t>
      </w:r>
      <w:r w:rsidRPr="00913BF7">
        <w:t xml:space="preserve"> </w:t>
      </w:r>
      <w:r w:rsidRPr="00E94337">
        <w:rPr>
          <w:rFonts w:cs="Times"/>
        </w:rPr>
        <w:t xml:space="preserve">After 7 days of culture, cells were treated with drugs for 72 h. </w:t>
      </w:r>
      <w:r w:rsidRPr="00B60938">
        <w:t xml:space="preserve">The control condition was obtained culturing cells in the medium with RANKL without drugs. The negative control was obtained culturing cells in the normal medium. </w:t>
      </w:r>
      <w:r w:rsidRPr="00B60938">
        <w:rPr>
          <w:rFonts w:cs="Times"/>
        </w:rPr>
        <w:t>Then, t</w:t>
      </w:r>
      <w:r w:rsidRPr="00B60938">
        <w:t>he assay was performed in accordance with the official protocol provided with the kit.</w:t>
      </w:r>
      <w:r w:rsidRPr="00B60938">
        <w:rPr>
          <w:rFonts w:cs="Times"/>
        </w:rPr>
        <w:t xml:space="preserve"> Staining of random selected areas at each well was evaluated at the microscopy. This procedure was repeated 3 times. </w:t>
      </w:r>
    </w:p>
    <w:p w14:paraId="055FE342" w14:textId="353696D7" w:rsidR="00303C47" w:rsidRPr="00192DB5" w:rsidRDefault="000C112C">
      <w:pPr>
        <w:pStyle w:val="Default"/>
        <w:spacing w:line="360" w:lineRule="auto"/>
        <w:jc w:val="both"/>
        <w:rPr>
          <w:rFonts w:ascii="Times New Roman" w:hAnsi="Times New Roman" w:cs="Times New Roman"/>
          <w:b/>
          <w:color w:val="auto"/>
        </w:rPr>
      </w:pPr>
      <w:r w:rsidRPr="00192DB5">
        <w:rPr>
          <w:rFonts w:ascii="Times New Roman" w:hAnsi="Times New Roman" w:cs="Times New Roman"/>
          <w:b/>
          <w:color w:val="auto"/>
        </w:rPr>
        <w:t>3.13</w:t>
      </w:r>
      <w:r w:rsidR="00303C47" w:rsidRPr="00192DB5">
        <w:rPr>
          <w:rFonts w:ascii="Times New Roman" w:hAnsi="Times New Roman" w:cs="Times New Roman"/>
          <w:b/>
          <w:color w:val="auto"/>
        </w:rPr>
        <w:t xml:space="preserve"> Statistic </w:t>
      </w:r>
    </w:p>
    <w:p w14:paraId="4A9DFE58" w14:textId="25A5A3AF" w:rsidR="00303C47" w:rsidRPr="00B60938" w:rsidRDefault="00303C47">
      <w:pPr>
        <w:pStyle w:val="Default"/>
        <w:spacing w:line="360" w:lineRule="auto"/>
        <w:jc w:val="both"/>
        <w:rPr>
          <w:rFonts w:ascii="Times New Roman" w:hAnsi="Times New Roman" w:cs="Times New Roman"/>
          <w:color w:val="auto"/>
          <w:lang w:val="en-GB"/>
        </w:rPr>
      </w:pPr>
      <w:r w:rsidRPr="00B60938">
        <w:rPr>
          <w:rFonts w:ascii="Times New Roman" w:hAnsi="Times New Roman" w:cs="Times New Roman"/>
          <w:color w:val="auto"/>
          <w:lang w:val="en-GB"/>
        </w:rPr>
        <w:t xml:space="preserve">Data were collected and analysed by Excell software (Microsoft) unless otherwise specified. The data were expressed as mean ± standard error (E.S.). Significance between mean were evaluated by </w:t>
      </w:r>
      <w:r w:rsidRPr="00B60938">
        <w:rPr>
          <w:rFonts w:ascii="Times New Roman" w:hAnsi="Times New Roman" w:cs="Times New Roman"/>
          <w:i/>
          <w:color w:val="auto"/>
          <w:lang w:val="en-GB"/>
        </w:rPr>
        <w:t xml:space="preserve">student t test </w:t>
      </w:r>
      <w:r w:rsidRPr="00B60938">
        <w:rPr>
          <w:rFonts w:ascii="Times New Roman" w:hAnsi="Times New Roman" w:cs="Times New Roman"/>
          <w:color w:val="auto"/>
          <w:lang w:val="en-GB"/>
        </w:rPr>
        <w:t xml:space="preserve">(p &lt; 0.05). Significance between data groups was evaluated by ONE WAY ANOVA analysis of variance (p &lt; 0.05). </w:t>
      </w:r>
    </w:p>
    <w:p w14:paraId="5E8537FB" w14:textId="37C175FF" w:rsidR="00BB5126" w:rsidRPr="00B60938" w:rsidRDefault="00BB5126">
      <w:pPr>
        <w:pStyle w:val="Default"/>
        <w:spacing w:line="360" w:lineRule="auto"/>
        <w:jc w:val="both"/>
        <w:rPr>
          <w:rFonts w:ascii="Times New Roman" w:hAnsi="Times New Roman" w:cs="Times New Roman"/>
          <w:color w:val="auto"/>
          <w:lang w:val="en-GB"/>
        </w:rPr>
      </w:pPr>
    </w:p>
    <w:p w14:paraId="13D87B00" w14:textId="2FF6743A" w:rsidR="00BB5126" w:rsidRPr="00B60938" w:rsidRDefault="00BB5126">
      <w:pPr>
        <w:pStyle w:val="Default"/>
        <w:spacing w:line="360" w:lineRule="auto"/>
        <w:jc w:val="both"/>
        <w:rPr>
          <w:rFonts w:ascii="Times New Roman" w:hAnsi="Times New Roman" w:cs="Times New Roman"/>
          <w:b/>
          <w:color w:val="auto"/>
          <w:lang w:val="en-GB"/>
        </w:rPr>
      </w:pPr>
      <w:r w:rsidRPr="00B60938">
        <w:rPr>
          <w:rFonts w:ascii="Times New Roman" w:hAnsi="Times New Roman" w:cs="Times New Roman"/>
          <w:b/>
          <w:color w:val="auto"/>
          <w:lang w:val="en-GB"/>
        </w:rPr>
        <w:t>3.14 Docking calculations</w:t>
      </w:r>
    </w:p>
    <w:p w14:paraId="09D0ED98" w14:textId="28089B3A" w:rsidR="00BB5126" w:rsidRPr="00B60938" w:rsidRDefault="00BB5126" w:rsidP="00F24A8A">
      <w:pPr>
        <w:autoSpaceDE w:val="0"/>
        <w:autoSpaceDN w:val="0"/>
        <w:adjustRightInd w:val="0"/>
        <w:spacing w:line="480" w:lineRule="auto"/>
        <w:jc w:val="both"/>
        <w:rPr>
          <w:lang w:eastAsia="ja-JP"/>
        </w:rPr>
      </w:pPr>
      <w:r w:rsidRPr="00B60938">
        <w:rPr>
          <w:lang w:eastAsia="ja-JP"/>
        </w:rPr>
        <w:lastRenderedPageBreak/>
        <w:t xml:space="preserve">Structures of studied inhibitors were manually built using the Build facility in Maestro version </w:t>
      </w:r>
      <w:r w:rsidR="00B957B9" w:rsidRPr="00B60938">
        <w:rPr>
          <w:lang w:eastAsia="ja-JP"/>
        </w:rPr>
        <w:t>11.4</w:t>
      </w:r>
      <w:r w:rsidR="00570227">
        <w:rPr>
          <w:lang w:eastAsia="ja-JP"/>
        </w:rPr>
        <w:t xml:space="preserve"> </w:t>
      </w:r>
      <w:r w:rsidR="00570227">
        <w:t>[68]</w:t>
      </w:r>
      <w:r w:rsidRPr="00B60938">
        <w:rPr>
          <w:lang w:eastAsia="ja-JP"/>
        </w:rPr>
        <w:t>.</w:t>
      </w:r>
    </w:p>
    <w:p w14:paraId="74A320A9" w14:textId="49D53DAB" w:rsidR="00BB5126" w:rsidRPr="00B60938" w:rsidRDefault="00BB5126" w:rsidP="00F24A8A">
      <w:pPr>
        <w:spacing w:line="480" w:lineRule="auto"/>
        <w:jc w:val="both"/>
        <w:rPr>
          <w:lang w:val="en-GB"/>
        </w:rPr>
      </w:pPr>
      <w:r w:rsidRPr="00B60938">
        <w:rPr>
          <w:lang w:val="en-GB"/>
        </w:rPr>
        <w:t xml:space="preserve">The protonation state at pH 7.4 was generated for all </w:t>
      </w:r>
      <w:r w:rsidR="00A21EF1" w:rsidRPr="00B60938">
        <w:rPr>
          <w:lang w:val="en-GB"/>
        </w:rPr>
        <w:t>ligand</w:t>
      </w:r>
      <w:r w:rsidR="00BB3804" w:rsidRPr="00B60938">
        <w:rPr>
          <w:lang w:val="en-GB"/>
        </w:rPr>
        <w:t>s</w:t>
      </w:r>
      <w:r w:rsidRPr="00B60938">
        <w:rPr>
          <w:lang w:val="en-GB"/>
        </w:rPr>
        <w:t xml:space="preserve"> using Epik, version</w:t>
      </w:r>
      <w:r w:rsidR="00B957B9" w:rsidRPr="00B60938">
        <w:rPr>
          <w:lang w:val="en-GB"/>
        </w:rPr>
        <w:t xml:space="preserve"> 4.2.</w:t>
      </w:r>
      <w:r w:rsidR="00570227">
        <w:rPr>
          <w:lang w:val="en-GB"/>
        </w:rPr>
        <w:t xml:space="preserve"> </w:t>
      </w:r>
      <w:r w:rsidR="00570227">
        <w:t>[68]</w:t>
      </w:r>
      <w:r w:rsidRPr="00B60938">
        <w:rPr>
          <w:lang w:val="en-GB"/>
        </w:rPr>
        <w:t xml:space="preserve"> </w:t>
      </w:r>
      <w:r w:rsidR="00A21EF1" w:rsidRPr="00B60938">
        <w:rPr>
          <w:lang w:val="en-GB"/>
        </w:rPr>
        <w:t xml:space="preserve">According to experimental data, </w:t>
      </w:r>
      <w:r w:rsidR="00DE7A2B" w:rsidRPr="00B60938">
        <w:rPr>
          <w:lang w:val="en-GB"/>
        </w:rPr>
        <w:t>N-</w:t>
      </w:r>
      <w:r w:rsidR="00A21EF1" w:rsidRPr="00B60938">
        <w:rPr>
          <w:lang w:val="en-GB"/>
        </w:rPr>
        <w:t>BP</w:t>
      </w:r>
      <w:r w:rsidR="00BB3804" w:rsidRPr="00B60938">
        <w:rPr>
          <w:lang w:val="en-GB"/>
        </w:rPr>
        <w:t>s</w:t>
      </w:r>
      <w:r w:rsidR="00A21EF1" w:rsidRPr="00B60938">
        <w:rPr>
          <w:lang w:val="en-GB"/>
        </w:rPr>
        <w:t xml:space="preserve"> </w:t>
      </w:r>
      <w:r w:rsidR="00BB3804" w:rsidRPr="00B60938">
        <w:rPr>
          <w:lang w:val="en-GB"/>
        </w:rPr>
        <w:t xml:space="preserve">bind </w:t>
      </w:r>
      <w:r w:rsidR="00BB3804" w:rsidRPr="00B60938">
        <w:rPr>
          <w:i/>
          <w:lang w:val="en-GB"/>
        </w:rPr>
        <w:t>h</w:t>
      </w:r>
      <w:r w:rsidR="00BB3804" w:rsidRPr="00B60938">
        <w:rPr>
          <w:lang w:val="en-GB"/>
        </w:rPr>
        <w:t xml:space="preserve">FPPS with protonated </w:t>
      </w:r>
      <w:r w:rsidR="00A21EF1" w:rsidRPr="00B60938">
        <w:rPr>
          <w:lang w:val="en-GB"/>
        </w:rPr>
        <w:t>side chain</w:t>
      </w:r>
      <w:r w:rsidR="00DE7A2B" w:rsidRPr="00B60938">
        <w:rPr>
          <w:lang w:val="en-GB"/>
        </w:rPr>
        <w:t>s</w:t>
      </w:r>
      <w:r w:rsidR="00A21EF1" w:rsidRPr="00B60938">
        <w:rPr>
          <w:lang w:val="en-GB"/>
        </w:rPr>
        <w:t>, therefore both protonated and deprotonated form for each ligand was considered, independently of the predicted preferred form</w:t>
      </w:r>
      <w:r w:rsidR="007778B6" w:rsidRPr="00B60938">
        <w:rPr>
          <w:lang w:val="en-GB"/>
        </w:rPr>
        <w:t xml:space="preserve"> at physiological pH</w:t>
      </w:r>
      <w:r w:rsidR="00A21EF1" w:rsidRPr="00B60938">
        <w:rPr>
          <w:lang w:val="en-GB"/>
        </w:rPr>
        <w:t xml:space="preserve">. </w:t>
      </w:r>
      <w:r w:rsidRPr="00B60938">
        <w:rPr>
          <w:lang w:val="en-GB"/>
        </w:rPr>
        <w:t>The obtained</w:t>
      </w:r>
      <w:r w:rsidR="00B957B9" w:rsidRPr="00B60938">
        <w:rPr>
          <w:lang w:val="en-GB"/>
        </w:rPr>
        <w:t xml:space="preserve"> </w:t>
      </w:r>
      <w:r w:rsidRPr="00B60938">
        <w:rPr>
          <w:lang w:val="en-GB"/>
        </w:rPr>
        <w:t xml:space="preserve">structures were minimized to </w:t>
      </w:r>
      <w:r w:rsidR="00B957B9" w:rsidRPr="00B60938">
        <w:rPr>
          <w:lang w:val="en-GB"/>
        </w:rPr>
        <w:t>a derivative convergence of 0.01</w:t>
      </w:r>
      <w:r w:rsidRPr="00B60938">
        <w:rPr>
          <w:lang w:val="en-GB"/>
        </w:rPr>
        <w:t xml:space="preserve"> kJ Å−1 mol−1 using the Polak−Ribiere conjugate gradient (PRCG) mini</w:t>
      </w:r>
      <w:r w:rsidR="00B957B9" w:rsidRPr="00B60938">
        <w:rPr>
          <w:lang w:val="en-GB"/>
        </w:rPr>
        <w:t>mization algorithm, the OPLS3</w:t>
      </w:r>
      <w:r w:rsidRPr="00B60938">
        <w:rPr>
          <w:lang w:val="en-GB"/>
        </w:rPr>
        <w:t xml:space="preserve"> force field, and the generalized Born/surface area (GB/SA) water solvation model implemen</w:t>
      </w:r>
      <w:r w:rsidR="00B957B9" w:rsidRPr="00B60938">
        <w:rPr>
          <w:lang w:val="en-GB"/>
        </w:rPr>
        <w:t>ted in MacroModel version 11.8</w:t>
      </w:r>
      <w:r w:rsidR="00570227">
        <w:rPr>
          <w:lang w:val="en-GB"/>
        </w:rPr>
        <w:t xml:space="preserve"> </w:t>
      </w:r>
      <w:r w:rsidR="00570227">
        <w:t>[68]</w:t>
      </w:r>
      <w:r w:rsidRPr="00B60938">
        <w:rPr>
          <w:lang w:val="en-GB"/>
        </w:rPr>
        <w:t xml:space="preserve">. </w:t>
      </w:r>
      <w:r w:rsidR="00BB3804" w:rsidRPr="00B60938">
        <w:rPr>
          <w:lang w:val="en-GB"/>
        </w:rPr>
        <w:t xml:space="preserve">The same parameters have been </w:t>
      </w:r>
      <w:r w:rsidR="007778B6" w:rsidRPr="00B60938">
        <w:rPr>
          <w:lang w:val="en-GB"/>
        </w:rPr>
        <w:t>used</w:t>
      </w:r>
      <w:r w:rsidR="00BB3804" w:rsidRPr="00B60938">
        <w:rPr>
          <w:lang w:val="en-GB"/>
        </w:rPr>
        <w:t xml:space="preserve"> to carry out a conformational search applying the mixed-torsional/low-mode sampling to generate the global minimum geometry </w:t>
      </w:r>
      <w:r w:rsidRPr="00B60938">
        <w:rPr>
          <w:lang w:val="en-GB"/>
        </w:rPr>
        <w:t xml:space="preserve">of each molecule, which was then </w:t>
      </w:r>
      <w:r w:rsidR="00BB3804" w:rsidRPr="00B60938">
        <w:rPr>
          <w:lang w:val="en-GB"/>
        </w:rPr>
        <w:t>submitted to docking calculations</w:t>
      </w:r>
      <w:r w:rsidRPr="00B60938">
        <w:rPr>
          <w:lang w:val="en-GB"/>
        </w:rPr>
        <w:t xml:space="preserve">. </w:t>
      </w:r>
    </w:p>
    <w:p w14:paraId="2A33459F" w14:textId="54A29F3D" w:rsidR="00303C47" w:rsidRPr="00B60938" w:rsidRDefault="00EA03DE" w:rsidP="00F24A8A">
      <w:pPr>
        <w:spacing w:line="480" w:lineRule="auto"/>
        <w:jc w:val="both"/>
        <w:rPr>
          <w:lang w:val="en-GB"/>
        </w:rPr>
      </w:pPr>
      <w:r w:rsidRPr="00B60938">
        <w:rPr>
          <w:lang w:val="en-GB"/>
        </w:rPr>
        <w:t xml:space="preserve">Docking calculations in the </w:t>
      </w:r>
      <w:r w:rsidRPr="00B60938">
        <w:rPr>
          <w:i/>
          <w:lang w:val="en-GB"/>
        </w:rPr>
        <w:t>h</w:t>
      </w:r>
      <w:r w:rsidRPr="00B60938">
        <w:rPr>
          <w:lang w:val="en-GB"/>
        </w:rPr>
        <w:t>FPPS binding site have been carried out using an already setup procedure</w:t>
      </w:r>
      <w:r w:rsidR="00570227">
        <w:rPr>
          <w:lang w:val="en-GB"/>
        </w:rPr>
        <w:t xml:space="preserve"> </w:t>
      </w:r>
      <w:r w:rsidR="00570227">
        <w:t>[49]</w:t>
      </w:r>
      <w:r w:rsidRPr="00B60938">
        <w:rPr>
          <w:lang w:val="en-GB"/>
        </w:rPr>
        <w:t xml:space="preserve">, where the protein structure with PDB ID 4H5D has been selected through a cross-docking calculation and thirteen water molecules surrounding the magnesium ions were considered in the final protein structure. A similar procedure has been applied also to dock </w:t>
      </w:r>
      <w:r w:rsidR="007778B6" w:rsidRPr="00B60938">
        <w:rPr>
          <w:lang w:val="en-GB"/>
        </w:rPr>
        <w:t xml:space="preserve">new </w:t>
      </w:r>
      <w:r w:rsidRPr="00B60938">
        <w:rPr>
          <w:lang w:val="en-GB"/>
        </w:rPr>
        <w:t xml:space="preserve">ligands in the </w:t>
      </w:r>
      <w:r w:rsidRPr="00B60938">
        <w:rPr>
          <w:i/>
          <w:lang w:val="en-GB"/>
        </w:rPr>
        <w:t>h</w:t>
      </w:r>
      <w:r w:rsidRPr="00B60938">
        <w:rPr>
          <w:lang w:val="en-GB"/>
        </w:rPr>
        <w:t>GGPPS binding site. Therefore, X-ray structure</w:t>
      </w:r>
      <w:r w:rsidR="00BB5126" w:rsidRPr="00B60938">
        <w:rPr>
          <w:lang w:val="en-GB"/>
        </w:rPr>
        <w:t xml:space="preserve"> of </w:t>
      </w:r>
      <w:r w:rsidR="00BB5126" w:rsidRPr="00B60938">
        <w:rPr>
          <w:i/>
          <w:lang w:val="en-GB"/>
        </w:rPr>
        <w:t>h</w:t>
      </w:r>
      <w:r w:rsidR="00BB5126" w:rsidRPr="00B60938">
        <w:rPr>
          <w:lang w:val="en-GB"/>
        </w:rPr>
        <w:t xml:space="preserve">FPPS and </w:t>
      </w:r>
      <w:r w:rsidR="00BB5126" w:rsidRPr="00B60938">
        <w:rPr>
          <w:i/>
          <w:lang w:val="en-GB"/>
        </w:rPr>
        <w:t>h</w:t>
      </w:r>
      <w:r w:rsidR="00BB5126" w:rsidRPr="00B60938">
        <w:rPr>
          <w:lang w:val="en-GB"/>
        </w:rPr>
        <w:t xml:space="preserve">GGPPS (PDB IDs </w:t>
      </w:r>
      <w:r w:rsidR="00B957B9" w:rsidRPr="00B60938">
        <w:rPr>
          <w:lang w:val="en-GB"/>
        </w:rPr>
        <w:t xml:space="preserve">4H5D and 2Q80 </w:t>
      </w:r>
      <w:r w:rsidR="00BB5126" w:rsidRPr="00B60938">
        <w:rPr>
          <w:lang w:val="en-GB"/>
        </w:rPr>
        <w:t>respectively) were downloaded from the PDB.</w:t>
      </w:r>
      <w:r w:rsidR="00BB5126" w:rsidRPr="00B60938">
        <w:t xml:space="preserve"> </w:t>
      </w:r>
      <w:r w:rsidR="00BB5126" w:rsidRPr="00B60938">
        <w:rPr>
          <w:lang w:val="en-GB"/>
        </w:rPr>
        <w:t xml:space="preserve">Each crystallographic structure was prepared using the Protein Preparation Wizard in </w:t>
      </w:r>
      <w:r w:rsidR="00B957B9" w:rsidRPr="00B60938">
        <w:rPr>
          <w:lang w:val="en-GB"/>
        </w:rPr>
        <w:t>Maestro,</w:t>
      </w:r>
      <w:r w:rsidR="00BB5126" w:rsidRPr="00B60938">
        <w:rPr>
          <w:lang w:val="en-GB"/>
        </w:rPr>
        <w:t xml:space="preserve"> </w:t>
      </w:r>
      <w:r w:rsidRPr="00B60938">
        <w:rPr>
          <w:lang w:val="en-GB"/>
        </w:rPr>
        <w:t xml:space="preserve">that allows eliminating ligands and defined water molecules, fixing bond orders, adding hydrogen atoms, computing the residue protonation state, optimizing the H-bond network and relaxing the structure with a constrained minimization. </w:t>
      </w:r>
      <w:r w:rsidR="00BB5126" w:rsidRPr="00B60938">
        <w:rPr>
          <w:lang w:val="en-GB"/>
        </w:rPr>
        <w:t>The so-prepared structures were submitted to subsequent docking studies.</w:t>
      </w:r>
      <w:r w:rsidR="00064224" w:rsidRPr="00B60938">
        <w:rPr>
          <w:lang w:val="en-GB"/>
        </w:rPr>
        <w:t xml:space="preserve"> Docking calculations have been carried out using Glide</w:t>
      </w:r>
      <w:r w:rsidR="007778B6" w:rsidRPr="00B60938">
        <w:rPr>
          <w:lang w:val="en-GB"/>
        </w:rPr>
        <w:t>,</w:t>
      </w:r>
      <w:r w:rsidR="00B957B9" w:rsidRPr="00B60938">
        <w:rPr>
          <w:lang w:val="en-GB"/>
        </w:rPr>
        <w:t xml:space="preserve"> version 7.7</w:t>
      </w:r>
      <w:r w:rsidR="00570227">
        <w:rPr>
          <w:lang w:val="en-GB"/>
        </w:rPr>
        <w:t xml:space="preserve"> </w:t>
      </w:r>
      <w:r w:rsidR="00570227">
        <w:t>[68]</w:t>
      </w:r>
      <w:r w:rsidR="00B957B9" w:rsidRPr="00B60938">
        <w:rPr>
          <w:lang w:val="en-GB"/>
        </w:rPr>
        <w:t>.</w:t>
      </w:r>
      <w:r w:rsidR="00064224" w:rsidRPr="00B60938">
        <w:rPr>
          <w:lang w:val="en-GB"/>
        </w:rPr>
        <w:t xml:space="preserve"> The Glide Grid Generation protocol was applied to each </w:t>
      </w:r>
      <w:r w:rsidR="00BB3804" w:rsidRPr="00B60938">
        <w:rPr>
          <w:lang w:val="en-GB"/>
        </w:rPr>
        <w:t xml:space="preserve">protein </w:t>
      </w:r>
      <w:r w:rsidR="00064224" w:rsidRPr="00B60938">
        <w:rPr>
          <w:lang w:val="en-GB"/>
        </w:rPr>
        <w:t>structure</w:t>
      </w:r>
      <w:r w:rsidR="00BB3804" w:rsidRPr="00B60938">
        <w:rPr>
          <w:lang w:val="en-GB"/>
        </w:rPr>
        <w:t>.</w:t>
      </w:r>
      <w:r w:rsidR="00BB3804" w:rsidRPr="00B60938">
        <w:t xml:space="preserve"> </w:t>
      </w:r>
      <w:r w:rsidR="00BB3804" w:rsidRPr="00B60938">
        <w:rPr>
          <w:lang w:val="en-GB"/>
        </w:rPr>
        <w:t>The docking region was defined by the X-ray coordinates of the co</w:t>
      </w:r>
      <w:r w:rsidR="000C6C02" w:rsidRPr="00B60938">
        <w:rPr>
          <w:lang w:val="en-GB"/>
        </w:rPr>
        <w:t>-</w:t>
      </w:r>
      <w:r w:rsidR="00BB3804" w:rsidRPr="00B60938">
        <w:rPr>
          <w:lang w:val="en-GB"/>
        </w:rPr>
        <w:t>crystallized ligands. The docking calculations were carried out using the Virtual Screening Workflow</w:t>
      </w:r>
      <w:r w:rsidRPr="00B60938">
        <w:rPr>
          <w:lang w:val="en-GB"/>
        </w:rPr>
        <w:t xml:space="preserve"> imposing an enhanced exploration of the ligand conformational space</w:t>
      </w:r>
      <w:r w:rsidR="00BB3804" w:rsidRPr="00B60938">
        <w:rPr>
          <w:lang w:val="en-GB"/>
        </w:rPr>
        <w:t xml:space="preserve">. Both Glide SP (standard precision) and XP (extra precision) methods were </w:t>
      </w:r>
      <w:r w:rsidRPr="00B60938">
        <w:rPr>
          <w:lang w:val="en-GB"/>
        </w:rPr>
        <w:t>appl</w:t>
      </w:r>
      <w:r w:rsidR="00BB3804" w:rsidRPr="00B60938">
        <w:rPr>
          <w:lang w:val="en-GB"/>
        </w:rPr>
        <w:t>i</w:t>
      </w:r>
      <w:r w:rsidRPr="00B60938">
        <w:rPr>
          <w:lang w:val="en-GB"/>
        </w:rPr>
        <w:t>ed</w:t>
      </w:r>
      <w:r w:rsidR="00BB3804" w:rsidRPr="00B60938">
        <w:rPr>
          <w:lang w:val="en-GB"/>
        </w:rPr>
        <w:t>.</w:t>
      </w:r>
      <w:r w:rsidR="00064224" w:rsidRPr="00B60938">
        <w:rPr>
          <w:lang w:val="en-GB"/>
        </w:rPr>
        <w:t xml:space="preserve"> Ten poses were saved for each ligand</w:t>
      </w:r>
      <w:r w:rsidR="00BB3804" w:rsidRPr="00B60938">
        <w:rPr>
          <w:lang w:val="en-GB"/>
        </w:rPr>
        <w:t>.</w:t>
      </w:r>
    </w:p>
    <w:p w14:paraId="0C029B76" w14:textId="22E540A6" w:rsidR="00303C47" w:rsidRPr="00B60938" w:rsidRDefault="000C112C" w:rsidP="00F24A8A">
      <w:pPr>
        <w:pStyle w:val="TAMainText"/>
        <w:ind w:firstLine="0"/>
        <w:rPr>
          <w:rFonts w:ascii="Times New Roman" w:hAnsi="Times New Roman"/>
          <w:b/>
          <w:sz w:val="28"/>
          <w:szCs w:val="28"/>
        </w:rPr>
      </w:pPr>
      <w:r w:rsidRPr="00B60938">
        <w:rPr>
          <w:rFonts w:ascii="Times New Roman" w:hAnsi="Times New Roman"/>
          <w:b/>
          <w:sz w:val="28"/>
          <w:szCs w:val="28"/>
        </w:rPr>
        <w:lastRenderedPageBreak/>
        <w:t xml:space="preserve">4. </w:t>
      </w:r>
      <w:r w:rsidR="00303C47" w:rsidRPr="00B60938">
        <w:rPr>
          <w:rFonts w:ascii="Times New Roman" w:hAnsi="Times New Roman"/>
          <w:b/>
          <w:sz w:val="28"/>
          <w:szCs w:val="28"/>
        </w:rPr>
        <w:t>Funding source</w:t>
      </w:r>
    </w:p>
    <w:p w14:paraId="5B12C845" w14:textId="77777777" w:rsidR="00303C47" w:rsidRPr="00B60938" w:rsidRDefault="00303C47" w:rsidP="009E4114">
      <w:pPr>
        <w:pStyle w:val="TAMainText"/>
        <w:rPr>
          <w:rFonts w:ascii="Times New Roman" w:hAnsi="Times New Roman"/>
          <w:szCs w:val="24"/>
        </w:rPr>
      </w:pPr>
      <w:r w:rsidRPr="00B60938">
        <w:rPr>
          <w:rFonts w:ascii="Times New Roman" w:hAnsi="Times New Roman"/>
          <w:szCs w:val="24"/>
        </w:rPr>
        <w:t>This work was supported by research funds through the University of Bari and Programma Regione Puglia-Italy: Avviso Regionale - Cluster Tecnologici Regionali per l’Innovazione 2015-2017, Project  “Cluster in Bioimaging” code QZYCUM0.</w:t>
      </w:r>
    </w:p>
    <w:p w14:paraId="19887460" w14:textId="77777777" w:rsidR="00F24A8A" w:rsidRPr="00B60938" w:rsidRDefault="00F24A8A">
      <w:pPr>
        <w:widowControl w:val="0"/>
        <w:autoSpaceDE w:val="0"/>
        <w:autoSpaceDN w:val="0"/>
        <w:adjustRightInd w:val="0"/>
        <w:spacing w:line="480" w:lineRule="auto"/>
        <w:jc w:val="both"/>
        <w:rPr>
          <w:rFonts w:ascii="TimesNewRomanPSMT" w:hAnsi="TimesNewRomanPSMT" w:cs="TimesNewRomanPSMT"/>
          <w:b/>
          <w:sz w:val="28"/>
          <w:szCs w:val="28"/>
        </w:rPr>
      </w:pPr>
    </w:p>
    <w:p w14:paraId="7A99E710" w14:textId="6C042821" w:rsidR="00303C47" w:rsidRPr="00B60938" w:rsidRDefault="000C112C">
      <w:pPr>
        <w:widowControl w:val="0"/>
        <w:autoSpaceDE w:val="0"/>
        <w:autoSpaceDN w:val="0"/>
        <w:adjustRightInd w:val="0"/>
        <w:spacing w:line="480" w:lineRule="auto"/>
        <w:jc w:val="both"/>
        <w:rPr>
          <w:rFonts w:ascii="TimesNewRomanPSMT" w:hAnsi="TimesNewRomanPSMT" w:cs="TimesNewRomanPSMT"/>
          <w:b/>
          <w:sz w:val="28"/>
          <w:szCs w:val="28"/>
        </w:rPr>
      </w:pPr>
      <w:r w:rsidRPr="00B60938">
        <w:rPr>
          <w:rFonts w:ascii="TimesNewRomanPSMT" w:hAnsi="TimesNewRomanPSMT" w:cs="TimesNewRomanPSMT"/>
          <w:b/>
          <w:sz w:val="28"/>
          <w:szCs w:val="28"/>
        </w:rPr>
        <w:t xml:space="preserve">5. </w:t>
      </w:r>
      <w:r w:rsidR="00303C47" w:rsidRPr="00B60938">
        <w:rPr>
          <w:rFonts w:ascii="TimesNewRomanPSMT" w:hAnsi="TimesNewRomanPSMT" w:cs="TimesNewRomanPSMT"/>
          <w:b/>
          <w:sz w:val="28"/>
          <w:szCs w:val="28"/>
        </w:rPr>
        <w:t>Contributions</w:t>
      </w:r>
    </w:p>
    <w:p w14:paraId="7D425582" w14:textId="3F32C7F4" w:rsidR="00303C47" w:rsidRPr="00B60938" w:rsidRDefault="00533464" w:rsidP="00CA1895">
      <w:pPr>
        <w:widowControl w:val="0"/>
        <w:autoSpaceDE w:val="0"/>
        <w:autoSpaceDN w:val="0"/>
        <w:adjustRightInd w:val="0"/>
        <w:spacing w:line="360" w:lineRule="auto"/>
        <w:jc w:val="both"/>
        <w:rPr>
          <w:rFonts w:ascii="TimesNewRomanPSMT" w:hAnsi="TimesNewRomanPSMT" w:cs="TimesNewRomanPSMT"/>
        </w:rPr>
      </w:pPr>
      <w:r w:rsidRPr="00B60938">
        <w:t>SS, AT, RP,</w:t>
      </w:r>
      <w:r w:rsidRPr="00B60938">
        <w:rPr>
          <w:rFonts w:ascii="TimesNewRomanPSMT" w:hAnsi="TimesNewRomanPSMT" w:cs="TimesNewRomanPSMT"/>
        </w:rPr>
        <w:t xml:space="preserve"> </w:t>
      </w:r>
      <w:r w:rsidRPr="00B60938">
        <w:t xml:space="preserve">EP, MA and AL </w:t>
      </w:r>
      <w:r w:rsidR="00303C47" w:rsidRPr="00B60938">
        <w:rPr>
          <w:rFonts w:ascii="TimesNewRomanPSMT" w:hAnsi="TimesNewRomanPSMT" w:cs="TimesNewRomanPSMT"/>
        </w:rPr>
        <w:t>authors contributed equally.</w:t>
      </w:r>
    </w:p>
    <w:p w14:paraId="50FA1109" w14:textId="2CD8F053" w:rsidR="00533464" w:rsidRPr="00B60938" w:rsidRDefault="00533464" w:rsidP="00CA1895">
      <w:pPr>
        <w:spacing w:line="360" w:lineRule="auto"/>
        <w:jc w:val="both"/>
      </w:pPr>
      <w:r w:rsidRPr="00B60938">
        <w:t xml:space="preserve">SS, AT, RP carried out the synthesis, analytical and spectroscopic characterization of the intermediates and target compounds. PT, FP and VP supervised the chemistry part. EP, CMM and AL expressed, purified </w:t>
      </w:r>
      <w:r w:rsidRPr="00B60938">
        <w:rPr>
          <w:i/>
        </w:rPr>
        <w:t>h</w:t>
      </w:r>
      <w:r w:rsidRPr="00B60938">
        <w:t xml:space="preserve">FPPS and </w:t>
      </w:r>
      <w:r w:rsidRPr="00B60938">
        <w:rPr>
          <w:i/>
        </w:rPr>
        <w:t>h</w:t>
      </w:r>
      <w:r w:rsidRPr="00B60938">
        <w:t xml:space="preserve">GGPPS, and performed the inhibition tests. MA </w:t>
      </w:r>
      <w:r w:rsidR="007778B6" w:rsidRPr="00B60938">
        <w:t>carried out computational studies.</w:t>
      </w:r>
      <w:r w:rsidRPr="00B60938">
        <w:t xml:space="preserve"> DT performed cell viability and mineralization assays. VM and AT were the representatives of the project-private partner. AS supervised all the activities and together with all co-authors wrote the paper.</w:t>
      </w:r>
    </w:p>
    <w:p w14:paraId="14DE6CC7" w14:textId="77777777" w:rsidR="00533464" w:rsidRPr="00B60938" w:rsidRDefault="00533464">
      <w:pPr>
        <w:widowControl w:val="0"/>
        <w:autoSpaceDE w:val="0"/>
        <w:autoSpaceDN w:val="0"/>
        <w:adjustRightInd w:val="0"/>
        <w:spacing w:line="480" w:lineRule="auto"/>
        <w:jc w:val="both"/>
        <w:rPr>
          <w:rFonts w:ascii="TimesNewRomanPSMT" w:hAnsi="TimesNewRomanPSMT" w:cs="TimesNewRomanPSMT"/>
        </w:rPr>
      </w:pPr>
    </w:p>
    <w:p w14:paraId="74D75070" w14:textId="009B6F79" w:rsidR="00303C47" w:rsidRPr="00B60938" w:rsidRDefault="000C112C">
      <w:pPr>
        <w:widowControl w:val="0"/>
        <w:autoSpaceDE w:val="0"/>
        <w:autoSpaceDN w:val="0"/>
        <w:adjustRightInd w:val="0"/>
        <w:spacing w:line="480" w:lineRule="auto"/>
        <w:jc w:val="both"/>
        <w:rPr>
          <w:b/>
          <w:sz w:val="28"/>
          <w:szCs w:val="28"/>
        </w:rPr>
      </w:pPr>
      <w:r w:rsidRPr="00B60938">
        <w:rPr>
          <w:b/>
          <w:sz w:val="28"/>
          <w:szCs w:val="28"/>
        </w:rPr>
        <w:t xml:space="preserve">6. </w:t>
      </w:r>
      <w:r w:rsidR="00303C47" w:rsidRPr="00B60938">
        <w:rPr>
          <w:b/>
          <w:sz w:val="28"/>
          <w:szCs w:val="28"/>
        </w:rPr>
        <w:t>Acknowledgment</w:t>
      </w:r>
    </w:p>
    <w:p w14:paraId="41BEAFCD" w14:textId="1F79C2D1" w:rsidR="00B55CA6" w:rsidRPr="00B60938" w:rsidRDefault="00303C47" w:rsidP="00CA1895">
      <w:pPr>
        <w:spacing w:line="360" w:lineRule="auto"/>
        <w:jc w:val="both"/>
      </w:pPr>
      <w:r w:rsidRPr="00B60938">
        <w:t xml:space="preserve">The authors wish to thank </w:t>
      </w:r>
      <w:r w:rsidR="00B55CA6" w:rsidRPr="00B60938">
        <w:t>Regione Puglia</w:t>
      </w:r>
      <w:r w:rsidR="00AD3168" w:rsidRPr="00B60938">
        <w:t xml:space="preserve"> (Italy)</w:t>
      </w:r>
      <w:r w:rsidR="00B55CA6" w:rsidRPr="00B60938">
        <w:t xml:space="preserve"> for the financial support </w:t>
      </w:r>
      <w:r w:rsidR="00A16B23" w:rsidRPr="00B60938">
        <w:t xml:space="preserve">to our project “Cluster in Bioimaging” code QZYCUM0, </w:t>
      </w:r>
      <w:r w:rsidR="00B55CA6" w:rsidRPr="00B60938">
        <w:t xml:space="preserve">through </w:t>
      </w:r>
      <w:r w:rsidR="00AD3168" w:rsidRPr="00B60938">
        <w:t>FSC 2017-2013 /</w:t>
      </w:r>
      <w:r w:rsidR="00B55CA6" w:rsidRPr="00B60938">
        <w:t xml:space="preserve"> Programma regionale a sostegno della specializzazione intelligente e della sostenibilità ambientale. Intervento “</w:t>
      </w:r>
      <w:r w:rsidR="00A16B23" w:rsidRPr="00B60938">
        <w:t xml:space="preserve">Cluster Tecnologici Regionali. Thanks are also due to </w:t>
      </w:r>
      <w:r w:rsidR="00AD3168" w:rsidRPr="00B60938">
        <w:t>Itel Telecomunicazioni –ItelPharma section, private partner of the “Cluster in Bioimaging”.</w:t>
      </w:r>
    </w:p>
    <w:p w14:paraId="0335CE67" w14:textId="73B6AAAD" w:rsidR="00303C47" w:rsidRPr="00B60938" w:rsidRDefault="00303C47" w:rsidP="00CB7B52">
      <w:pPr>
        <w:widowControl w:val="0"/>
        <w:autoSpaceDE w:val="0"/>
        <w:autoSpaceDN w:val="0"/>
        <w:adjustRightInd w:val="0"/>
        <w:spacing w:line="480" w:lineRule="auto"/>
        <w:jc w:val="both"/>
        <w:rPr>
          <w:rFonts w:ascii="TimesNewRomanPSMT" w:hAnsi="TimesNewRomanPSMT" w:cs="TimesNewRomanPSMT"/>
        </w:rPr>
      </w:pPr>
    </w:p>
    <w:p w14:paraId="423C06AE" w14:textId="66103804" w:rsidR="00303C47" w:rsidRPr="00B60938" w:rsidRDefault="000C112C" w:rsidP="00E50862">
      <w:pPr>
        <w:pStyle w:val="TAMainText"/>
        <w:ind w:firstLine="0"/>
        <w:rPr>
          <w:rFonts w:ascii="Times New Roman" w:hAnsi="Times New Roman"/>
          <w:b/>
          <w:sz w:val="28"/>
          <w:szCs w:val="28"/>
        </w:rPr>
      </w:pPr>
      <w:r w:rsidRPr="00B60938">
        <w:rPr>
          <w:rFonts w:ascii="Times New Roman" w:hAnsi="Times New Roman"/>
          <w:b/>
          <w:sz w:val="28"/>
          <w:szCs w:val="28"/>
        </w:rPr>
        <w:t xml:space="preserve">7. </w:t>
      </w:r>
      <w:r w:rsidR="00303C47" w:rsidRPr="00B60938">
        <w:rPr>
          <w:rFonts w:ascii="Times New Roman" w:hAnsi="Times New Roman"/>
          <w:b/>
          <w:sz w:val="28"/>
          <w:szCs w:val="28"/>
        </w:rPr>
        <w:t>Conflict of interest</w:t>
      </w:r>
    </w:p>
    <w:p w14:paraId="13D92313" w14:textId="77777777" w:rsidR="00303C47" w:rsidRPr="00B60938" w:rsidRDefault="00303C47" w:rsidP="009E4114">
      <w:pPr>
        <w:pStyle w:val="TAMainText"/>
        <w:ind w:firstLine="0"/>
        <w:rPr>
          <w:rFonts w:ascii="TimesNewRomanPSMT" w:hAnsi="TimesNewRomanPSMT" w:cs="TimesNewRomanPSMT"/>
          <w:szCs w:val="24"/>
          <w:lang w:eastAsia="it-IT"/>
        </w:rPr>
      </w:pPr>
      <w:r w:rsidRPr="00B60938">
        <w:rPr>
          <w:rFonts w:ascii="TimesNewRomanPSMT" w:hAnsi="TimesNewRomanPSMT" w:cs="TimesNewRomanPSMT"/>
          <w:szCs w:val="24"/>
          <w:lang w:eastAsia="it-IT"/>
        </w:rPr>
        <w:t>The authors declare no potential conflict of interest.</w:t>
      </w:r>
    </w:p>
    <w:p w14:paraId="4F37522C" w14:textId="77777777" w:rsidR="006E6338" w:rsidRPr="00B60938" w:rsidRDefault="006E6338" w:rsidP="00C75139">
      <w:pPr>
        <w:widowControl w:val="0"/>
        <w:autoSpaceDE w:val="0"/>
        <w:autoSpaceDN w:val="0"/>
        <w:adjustRightInd w:val="0"/>
        <w:spacing w:line="480" w:lineRule="auto"/>
        <w:jc w:val="both"/>
        <w:rPr>
          <w:b/>
          <w:sz w:val="28"/>
          <w:szCs w:val="28"/>
        </w:rPr>
      </w:pPr>
    </w:p>
    <w:p w14:paraId="0B1C3FE5" w14:textId="556553BF" w:rsidR="00303C47" w:rsidRPr="00B60938" w:rsidRDefault="000C112C" w:rsidP="00AD47FF">
      <w:pPr>
        <w:widowControl w:val="0"/>
        <w:autoSpaceDE w:val="0"/>
        <w:autoSpaceDN w:val="0"/>
        <w:adjustRightInd w:val="0"/>
        <w:spacing w:line="480" w:lineRule="auto"/>
        <w:jc w:val="both"/>
        <w:rPr>
          <w:rFonts w:ascii="TimesNewRomanPS-BoldMT" w:hAnsi="TimesNewRomanPS-BoldMT" w:cs="TimesNewRomanPS-BoldMT"/>
          <w:bCs/>
          <w:sz w:val="22"/>
          <w:szCs w:val="22"/>
          <w:lang w:val="it-IT" w:eastAsia="ja-JP"/>
        </w:rPr>
      </w:pPr>
      <w:r w:rsidRPr="00B60938">
        <w:rPr>
          <w:b/>
          <w:sz w:val="28"/>
          <w:szCs w:val="28"/>
          <w:lang w:val="it-IT"/>
        </w:rPr>
        <w:t xml:space="preserve">8. </w:t>
      </w:r>
      <w:r w:rsidR="00303C47" w:rsidRPr="00B60938">
        <w:rPr>
          <w:b/>
          <w:sz w:val="28"/>
          <w:szCs w:val="28"/>
          <w:lang w:val="it-IT"/>
        </w:rPr>
        <w:t>References</w:t>
      </w:r>
    </w:p>
    <w:p w14:paraId="6F0A8C81" w14:textId="58DF5A47" w:rsidR="00BC56E2" w:rsidRPr="00E15A74" w:rsidRDefault="00237669" w:rsidP="00FA303D">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rsidRPr="00D85C4C">
        <w:rPr>
          <w:rFonts w:ascii="TimesNewRomanPS-BoldMT" w:hAnsi="TimesNewRomanPS-BoldMT" w:cs="TimesNewRomanPS-BoldMT"/>
          <w:bCs/>
          <w:lang w:val="it-IT" w:eastAsia="ja-JP"/>
        </w:rPr>
        <w:t>F.</w:t>
      </w:r>
      <w:r>
        <w:rPr>
          <w:rFonts w:ascii="TimesNewRomanPS-BoldMT" w:hAnsi="TimesNewRomanPS-BoldMT" w:cs="TimesNewRomanPS-BoldMT"/>
          <w:bCs/>
          <w:lang w:val="it-IT" w:eastAsia="ja-JP"/>
        </w:rPr>
        <w:t xml:space="preserve"> </w:t>
      </w:r>
      <w:r w:rsidR="006B44F4" w:rsidRPr="00D85C4C">
        <w:rPr>
          <w:rFonts w:ascii="TimesNewRomanPS-BoldMT" w:hAnsi="TimesNewRomanPS-BoldMT" w:cs="TimesNewRomanPS-BoldMT"/>
          <w:bCs/>
          <w:lang w:val="it-IT" w:eastAsia="ja-JP"/>
        </w:rPr>
        <w:t xml:space="preserve">Macedo, </w:t>
      </w:r>
      <w:r w:rsidRPr="00D85C4C">
        <w:rPr>
          <w:rFonts w:ascii="TimesNewRomanPS-BoldMT" w:hAnsi="TimesNewRomanPS-BoldMT" w:cs="TimesNewRomanPS-BoldMT"/>
          <w:bCs/>
          <w:lang w:val="it-IT" w:eastAsia="ja-JP"/>
        </w:rPr>
        <w:t>K.</w:t>
      </w:r>
      <w:r>
        <w:rPr>
          <w:rFonts w:ascii="TimesNewRomanPS-BoldMT" w:hAnsi="TimesNewRomanPS-BoldMT" w:cs="TimesNewRomanPS-BoldMT"/>
          <w:bCs/>
          <w:lang w:val="it-IT" w:eastAsia="ja-JP"/>
        </w:rPr>
        <w:t xml:space="preserve"> </w:t>
      </w:r>
      <w:r w:rsidR="006B44F4" w:rsidRPr="00D85C4C">
        <w:rPr>
          <w:rFonts w:ascii="TimesNewRomanPS-BoldMT" w:hAnsi="TimesNewRomanPS-BoldMT" w:cs="TimesNewRomanPS-BoldMT"/>
          <w:bCs/>
          <w:lang w:val="it-IT" w:eastAsia="ja-JP"/>
        </w:rPr>
        <w:t xml:space="preserve">Ladeira, </w:t>
      </w:r>
      <w:r w:rsidRPr="00D85C4C">
        <w:rPr>
          <w:rFonts w:ascii="TimesNewRomanPS-BoldMT" w:hAnsi="TimesNewRomanPS-BoldMT" w:cs="TimesNewRomanPS-BoldMT"/>
          <w:bCs/>
          <w:lang w:val="it-IT" w:eastAsia="ja-JP"/>
        </w:rPr>
        <w:t>F.</w:t>
      </w:r>
      <w:r>
        <w:rPr>
          <w:rFonts w:ascii="TimesNewRomanPS-BoldMT" w:hAnsi="TimesNewRomanPS-BoldMT" w:cs="TimesNewRomanPS-BoldMT"/>
          <w:bCs/>
          <w:lang w:val="it-IT" w:eastAsia="ja-JP"/>
        </w:rPr>
        <w:t xml:space="preserve"> </w:t>
      </w:r>
      <w:r w:rsidR="006B44F4" w:rsidRPr="00D85C4C">
        <w:rPr>
          <w:rFonts w:ascii="TimesNewRomanPS-BoldMT" w:hAnsi="TimesNewRomanPS-BoldMT" w:cs="TimesNewRomanPS-BoldMT"/>
          <w:bCs/>
          <w:lang w:val="it-IT" w:eastAsia="ja-JP"/>
        </w:rPr>
        <w:t xml:space="preserve">Pinho, </w:t>
      </w:r>
      <w:r>
        <w:rPr>
          <w:rFonts w:ascii="TimesNewRomanPS-BoldMT" w:hAnsi="TimesNewRomanPS-BoldMT" w:cs="TimesNewRomanPS-BoldMT"/>
          <w:bCs/>
          <w:lang w:val="it-IT" w:eastAsia="ja-JP"/>
        </w:rPr>
        <w:t xml:space="preserve">N. </w:t>
      </w:r>
      <w:r w:rsidR="006B44F4" w:rsidRPr="00D85C4C">
        <w:rPr>
          <w:rFonts w:ascii="TimesNewRomanPS-BoldMT" w:hAnsi="TimesNewRomanPS-BoldMT" w:cs="TimesNewRomanPS-BoldMT"/>
          <w:bCs/>
          <w:lang w:val="it-IT" w:eastAsia="ja-JP"/>
        </w:rPr>
        <w:t xml:space="preserve">Saraiva, </w:t>
      </w:r>
      <w:r>
        <w:rPr>
          <w:rFonts w:ascii="TimesNewRomanPS-BoldMT" w:hAnsi="TimesNewRomanPS-BoldMT" w:cs="TimesNewRomanPS-BoldMT"/>
          <w:bCs/>
          <w:lang w:val="it-IT" w:eastAsia="ja-JP"/>
        </w:rPr>
        <w:t xml:space="preserve">N. </w:t>
      </w:r>
      <w:r w:rsidR="006B44F4" w:rsidRPr="00D85C4C">
        <w:rPr>
          <w:rFonts w:ascii="TimesNewRomanPS-BoldMT" w:hAnsi="TimesNewRomanPS-BoldMT" w:cs="TimesNewRomanPS-BoldMT"/>
          <w:bCs/>
          <w:lang w:val="it-IT" w:eastAsia="ja-JP"/>
        </w:rPr>
        <w:t>Bonito,</w:t>
      </w:r>
      <w:r>
        <w:rPr>
          <w:rFonts w:ascii="TimesNewRomanPS-BoldMT" w:hAnsi="TimesNewRomanPS-BoldMT" w:cs="TimesNewRomanPS-BoldMT"/>
          <w:bCs/>
          <w:lang w:val="it-IT" w:eastAsia="ja-JP"/>
        </w:rPr>
        <w:t xml:space="preserve"> L.</w:t>
      </w:r>
      <w:r w:rsidR="006B44F4" w:rsidRPr="00D85C4C">
        <w:rPr>
          <w:rFonts w:ascii="TimesNewRomanPS-BoldMT" w:hAnsi="TimesNewRomanPS-BoldMT" w:cs="TimesNewRomanPS-BoldMT"/>
          <w:bCs/>
          <w:lang w:val="it-IT" w:eastAsia="ja-JP"/>
        </w:rPr>
        <w:t xml:space="preserve"> Pinto,</w:t>
      </w:r>
      <w:r>
        <w:rPr>
          <w:rFonts w:ascii="TimesNewRomanPS-BoldMT" w:hAnsi="TimesNewRomanPS-BoldMT" w:cs="TimesNewRomanPS-BoldMT"/>
          <w:bCs/>
          <w:lang w:val="it-IT" w:eastAsia="ja-JP"/>
        </w:rPr>
        <w:t xml:space="preserve"> F.</w:t>
      </w:r>
      <w:r w:rsidR="006B44F4" w:rsidRPr="00D85C4C">
        <w:rPr>
          <w:rFonts w:ascii="TimesNewRomanPS-BoldMT" w:hAnsi="TimesNewRomanPS-BoldMT" w:cs="TimesNewRomanPS-BoldMT"/>
          <w:bCs/>
          <w:lang w:val="it-IT" w:eastAsia="ja-JP"/>
        </w:rPr>
        <w:t xml:space="preserve"> Gonçalves, Bone metastases: </w:t>
      </w:r>
      <w:r w:rsidR="006B44F4" w:rsidRPr="00D85C4C">
        <w:rPr>
          <w:bCs/>
          <w:lang w:val="it-IT" w:eastAsia="ja-JP"/>
        </w:rPr>
        <w:t>an overview</w:t>
      </w:r>
      <w:r>
        <w:rPr>
          <w:bCs/>
          <w:lang w:val="it-IT" w:eastAsia="ja-JP"/>
        </w:rPr>
        <w:t>,</w:t>
      </w:r>
      <w:r w:rsidR="006B44F4" w:rsidRPr="00D85C4C">
        <w:rPr>
          <w:b/>
          <w:bCs/>
          <w:lang w:val="it-IT" w:eastAsia="ja-JP"/>
        </w:rPr>
        <w:t xml:space="preserve"> </w:t>
      </w:r>
      <w:r w:rsidR="006B44F4" w:rsidRPr="00E15A74">
        <w:rPr>
          <w:lang w:val="it-IT" w:eastAsia="ja-JP"/>
        </w:rPr>
        <w:t>Oncology Rev.</w:t>
      </w:r>
      <w:r w:rsidRPr="00E15A74">
        <w:rPr>
          <w:lang w:val="it-IT" w:eastAsia="ja-JP"/>
        </w:rPr>
        <w:t xml:space="preserve"> 1</w:t>
      </w:r>
      <w:r w:rsidR="00E15A74" w:rsidRPr="00E15A74">
        <w:rPr>
          <w:lang w:val="it-IT" w:eastAsia="ja-JP"/>
        </w:rPr>
        <w:t>1:321</w:t>
      </w:r>
      <w:r w:rsidR="006B44F4" w:rsidRPr="00E15A74">
        <w:rPr>
          <w:lang w:val="it-IT" w:eastAsia="ja-JP"/>
        </w:rPr>
        <w:t xml:space="preserve"> </w:t>
      </w:r>
      <w:r w:rsidRPr="00E15A74">
        <w:rPr>
          <w:lang w:val="it-IT" w:eastAsia="ja-JP"/>
        </w:rPr>
        <w:t>(</w:t>
      </w:r>
      <w:r w:rsidR="006B44F4" w:rsidRPr="00E15A74">
        <w:rPr>
          <w:lang w:val="it-IT" w:eastAsia="ja-JP"/>
        </w:rPr>
        <w:t>2017</w:t>
      </w:r>
      <w:r w:rsidRPr="00E15A74">
        <w:rPr>
          <w:lang w:val="it-IT" w:eastAsia="ja-JP"/>
        </w:rPr>
        <w:t>)</w:t>
      </w:r>
      <w:r w:rsidR="006B44F4" w:rsidRPr="00E15A74">
        <w:rPr>
          <w:lang w:val="it-IT" w:eastAsia="ja-JP"/>
        </w:rPr>
        <w:t xml:space="preserve"> 43-49.</w:t>
      </w:r>
    </w:p>
    <w:p w14:paraId="02BD14F9" w14:textId="696EC3A9" w:rsidR="004B6698" w:rsidRPr="00D85C4C" w:rsidRDefault="00E15A74" w:rsidP="00313F11">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rsidRPr="00D85C4C">
        <w:rPr>
          <w:rFonts w:ascii="TimesNewRomanPSMT" w:hAnsi="TimesNewRomanPSMT" w:cs="TimesNewRomanPSMT"/>
          <w:lang w:eastAsia="ja-JP"/>
        </w:rPr>
        <w:t xml:space="preserve">R. </w:t>
      </w:r>
      <w:r w:rsidR="004B6698" w:rsidRPr="00D85C4C">
        <w:rPr>
          <w:rFonts w:ascii="TimesNewRomanPSMT" w:hAnsi="TimesNewRomanPSMT" w:cs="TimesNewRomanPSMT"/>
          <w:lang w:eastAsia="ja-JP"/>
        </w:rPr>
        <w:t xml:space="preserve">Coleman, Metastatic bone disease: clinical features, pathophysiology and treatment </w:t>
      </w:r>
      <w:r w:rsidR="004B6698" w:rsidRPr="00D85C4C">
        <w:rPr>
          <w:rFonts w:ascii="TimesNewRomanPSMT" w:hAnsi="TimesNewRomanPSMT" w:cs="TimesNewRomanPSMT"/>
          <w:lang w:eastAsia="ja-JP"/>
        </w:rPr>
        <w:lastRenderedPageBreak/>
        <w:t>strategies</w:t>
      </w:r>
      <w:r>
        <w:rPr>
          <w:rFonts w:ascii="TimesNewRomanPSMT" w:hAnsi="TimesNewRomanPSMT" w:cs="TimesNewRomanPSMT"/>
          <w:lang w:eastAsia="ja-JP"/>
        </w:rPr>
        <w:t>,</w:t>
      </w:r>
      <w:r w:rsidR="004B6698" w:rsidRPr="00D85C4C">
        <w:rPr>
          <w:rFonts w:ascii="TimesNewRomanPSMT" w:hAnsi="TimesNewRomanPSMT" w:cs="TimesNewRomanPSMT"/>
          <w:lang w:eastAsia="ja-JP"/>
        </w:rPr>
        <w:t xml:space="preserve"> </w:t>
      </w:r>
      <w:r w:rsidR="004B6698" w:rsidRPr="00CD5941">
        <w:rPr>
          <w:rFonts w:ascii="TimesNewRomanPSMT" w:hAnsi="TimesNewRomanPSMT" w:cs="TimesNewRomanPSMT"/>
          <w:lang w:eastAsia="ja-JP"/>
        </w:rPr>
        <w:t>Cancer Treat</w:t>
      </w:r>
      <w:r w:rsidR="00FB1676" w:rsidRPr="00CD5941">
        <w:rPr>
          <w:rFonts w:ascii="TimesNewRomanPSMT" w:hAnsi="TimesNewRomanPSMT" w:cs="TimesNewRomanPSMT"/>
          <w:lang w:eastAsia="ja-JP"/>
        </w:rPr>
        <w:t>.</w:t>
      </w:r>
      <w:r w:rsidR="004B6698" w:rsidRPr="00CD5941">
        <w:rPr>
          <w:rFonts w:ascii="TimesNewRomanPSMT" w:hAnsi="TimesNewRomanPSMT" w:cs="TimesNewRomanPSMT"/>
          <w:lang w:eastAsia="ja-JP"/>
        </w:rPr>
        <w:t xml:space="preserve"> </w:t>
      </w:r>
      <w:r w:rsidR="004B6698" w:rsidRPr="00FB1676">
        <w:rPr>
          <w:rFonts w:ascii="TimesNewRomanPSMT" w:hAnsi="TimesNewRomanPSMT" w:cs="TimesNewRomanPSMT"/>
          <w:lang w:val="it-IT" w:eastAsia="ja-JP"/>
        </w:rPr>
        <w:t>Rev</w:t>
      </w:r>
      <w:r w:rsidR="00FB1676">
        <w:rPr>
          <w:rFonts w:ascii="TimesNewRomanPSMT" w:hAnsi="TimesNewRomanPSMT" w:cs="TimesNewRomanPSMT"/>
          <w:lang w:val="it-IT" w:eastAsia="ja-JP"/>
        </w:rPr>
        <w:t>. 27</w:t>
      </w:r>
      <w:r w:rsidR="004B6698" w:rsidRPr="00E15A74">
        <w:rPr>
          <w:rFonts w:ascii="TimesNewRomanPSMT" w:hAnsi="TimesNewRomanPSMT" w:cs="TimesNewRomanPSMT"/>
          <w:lang w:val="it-IT" w:eastAsia="ja-JP"/>
        </w:rPr>
        <w:t xml:space="preserve"> </w:t>
      </w:r>
      <w:r w:rsidR="00FB1676">
        <w:rPr>
          <w:rFonts w:ascii="TimesNewRomanPSMT" w:hAnsi="TimesNewRomanPSMT" w:cs="TimesNewRomanPSMT"/>
          <w:lang w:val="it-IT" w:eastAsia="ja-JP"/>
        </w:rPr>
        <w:t>(</w:t>
      </w:r>
      <w:r w:rsidR="004B6698" w:rsidRPr="00FB1676">
        <w:rPr>
          <w:rFonts w:ascii="TimesNewRomanPSMT" w:hAnsi="TimesNewRomanPSMT" w:cs="TimesNewRomanPSMT"/>
          <w:lang w:val="it-IT" w:eastAsia="ja-JP"/>
        </w:rPr>
        <w:t>2001</w:t>
      </w:r>
      <w:r w:rsidR="00FB1676">
        <w:rPr>
          <w:rFonts w:ascii="TimesNewRomanPSMT" w:hAnsi="TimesNewRomanPSMT" w:cs="TimesNewRomanPSMT"/>
          <w:lang w:val="it-IT" w:eastAsia="ja-JP"/>
        </w:rPr>
        <w:t xml:space="preserve">) </w:t>
      </w:r>
      <w:r w:rsidR="004B6698" w:rsidRPr="00D85C4C">
        <w:rPr>
          <w:rFonts w:ascii="TimesNewRomanPSMT" w:hAnsi="TimesNewRomanPSMT" w:cs="TimesNewRomanPSMT"/>
          <w:lang w:val="it-IT" w:eastAsia="ja-JP"/>
        </w:rPr>
        <w:t>165-76.</w:t>
      </w:r>
    </w:p>
    <w:p w14:paraId="2ADA3B59" w14:textId="04717070" w:rsidR="006B44F4" w:rsidRPr="00CD5941" w:rsidRDefault="00FB1676" w:rsidP="00CB7B52">
      <w:pPr>
        <w:pStyle w:val="Paragrafoelenco"/>
        <w:widowControl w:val="0"/>
        <w:numPr>
          <w:ilvl w:val="0"/>
          <w:numId w:val="1"/>
        </w:numPr>
        <w:autoSpaceDE w:val="0"/>
        <w:autoSpaceDN w:val="0"/>
        <w:adjustRightInd w:val="0"/>
        <w:spacing w:line="480" w:lineRule="auto"/>
        <w:jc w:val="both"/>
        <w:rPr>
          <w:rFonts w:ascii="Cheltenham-Book" w:hAnsi="Cheltenham-Book" w:cs="Cheltenham-Book"/>
          <w:lang w:eastAsia="ja-JP"/>
        </w:rPr>
      </w:pPr>
      <w:r>
        <w:rPr>
          <w:rFonts w:ascii="TimesNewRomanPSMT" w:hAnsi="TimesNewRomanPSMT" w:cs="TimesNewRomanPSMT"/>
          <w:lang w:eastAsia="ja-JP"/>
        </w:rPr>
        <w:t xml:space="preserve">M. </w:t>
      </w:r>
      <w:r w:rsidR="004B6698" w:rsidRPr="00D85C4C">
        <w:rPr>
          <w:rFonts w:ascii="TimesNewRomanPSMT" w:hAnsi="TimesNewRomanPSMT" w:cs="TimesNewRomanPSMT"/>
          <w:lang w:eastAsia="ja-JP"/>
        </w:rPr>
        <w:t xml:space="preserve">Cecchini, </w:t>
      </w:r>
      <w:r>
        <w:rPr>
          <w:rFonts w:ascii="TimesNewRomanPSMT" w:hAnsi="TimesNewRomanPSMT" w:cs="TimesNewRomanPSMT"/>
          <w:lang w:eastAsia="ja-JP"/>
        </w:rPr>
        <w:t xml:space="preserve">A. </w:t>
      </w:r>
      <w:r w:rsidR="004B6698" w:rsidRPr="00D85C4C">
        <w:rPr>
          <w:rFonts w:ascii="TimesNewRomanPSMT" w:hAnsi="TimesNewRomanPSMT" w:cs="TimesNewRomanPSMT"/>
          <w:lang w:eastAsia="ja-JP"/>
        </w:rPr>
        <w:t xml:space="preserve">Wetterwald, </w:t>
      </w:r>
      <w:r>
        <w:rPr>
          <w:rFonts w:ascii="TimesNewRomanPSMT" w:hAnsi="TimesNewRomanPSMT" w:cs="TimesNewRomanPSMT"/>
          <w:lang w:eastAsia="ja-JP"/>
        </w:rPr>
        <w:t xml:space="preserve">G. </w:t>
      </w:r>
      <w:r w:rsidR="004B6698" w:rsidRPr="00D85C4C">
        <w:rPr>
          <w:rFonts w:ascii="TimesNewRomanPSMT" w:hAnsi="TimesNewRomanPSMT" w:cs="TimesNewRomanPSMT"/>
          <w:lang w:eastAsia="ja-JP"/>
        </w:rPr>
        <w:t xml:space="preserve">Pluijm, </w:t>
      </w:r>
      <w:r>
        <w:rPr>
          <w:rFonts w:ascii="TimesNewRomanPSMT" w:hAnsi="TimesNewRomanPSMT" w:cs="TimesNewRomanPSMT"/>
          <w:lang w:eastAsia="ja-JP"/>
        </w:rPr>
        <w:t xml:space="preserve">G. </w:t>
      </w:r>
      <w:r w:rsidR="004B6698" w:rsidRPr="00D85C4C">
        <w:rPr>
          <w:rFonts w:ascii="TimesNewRomanPSMT" w:hAnsi="TimesNewRomanPSMT" w:cs="TimesNewRomanPSMT"/>
          <w:lang w:eastAsia="ja-JP"/>
        </w:rPr>
        <w:t>Thalmann, Molecular and biological mechanisms of bone metastasis</w:t>
      </w:r>
      <w:r w:rsidR="00E261B0">
        <w:rPr>
          <w:rFonts w:ascii="TimesNewRomanPSMT" w:hAnsi="TimesNewRomanPSMT" w:cs="TimesNewRomanPSMT"/>
          <w:lang w:eastAsia="ja-JP"/>
        </w:rPr>
        <w:t>,</w:t>
      </w:r>
      <w:r w:rsidR="00E261B0" w:rsidRPr="00D85C4C">
        <w:rPr>
          <w:rFonts w:ascii="TimesNewRomanPSMT" w:hAnsi="TimesNewRomanPSMT" w:cs="TimesNewRomanPSMT"/>
          <w:lang w:eastAsia="ja-JP"/>
        </w:rPr>
        <w:t xml:space="preserve"> </w:t>
      </w:r>
      <w:r w:rsidR="004B6698" w:rsidRPr="00CD5941">
        <w:rPr>
          <w:rFonts w:ascii="TimesNewRomanPSMT" w:hAnsi="TimesNewRomanPSMT" w:cs="TimesNewRomanPSMT"/>
          <w:lang w:eastAsia="ja-JP"/>
        </w:rPr>
        <w:t>EAU Update Series</w:t>
      </w:r>
      <w:r w:rsidRPr="00CD5941">
        <w:rPr>
          <w:rFonts w:ascii="TimesNewRomanPSMT" w:hAnsi="TimesNewRomanPSMT" w:cs="TimesNewRomanPSMT"/>
          <w:lang w:eastAsia="ja-JP"/>
        </w:rPr>
        <w:t xml:space="preserve"> 3</w:t>
      </w:r>
      <w:r w:rsidR="004B6698" w:rsidRPr="00CD5941">
        <w:rPr>
          <w:rFonts w:ascii="TimesNewRomanPSMT" w:hAnsi="TimesNewRomanPSMT" w:cs="TimesNewRomanPSMT"/>
          <w:lang w:eastAsia="ja-JP"/>
        </w:rPr>
        <w:t xml:space="preserve"> </w:t>
      </w:r>
      <w:r w:rsidRPr="00CD5941">
        <w:rPr>
          <w:rFonts w:ascii="TimesNewRomanPSMT" w:hAnsi="TimesNewRomanPSMT" w:cs="TimesNewRomanPSMT"/>
          <w:lang w:eastAsia="ja-JP"/>
        </w:rPr>
        <w:t>(</w:t>
      </w:r>
      <w:r w:rsidR="004B6698" w:rsidRPr="00CD5941">
        <w:rPr>
          <w:rFonts w:ascii="TimesNewRomanPSMT" w:hAnsi="TimesNewRomanPSMT" w:cs="TimesNewRomanPSMT"/>
          <w:lang w:eastAsia="ja-JP"/>
        </w:rPr>
        <w:t>2005</w:t>
      </w:r>
      <w:r w:rsidRPr="00CD5941">
        <w:rPr>
          <w:rFonts w:ascii="TimesNewRomanPSMT" w:hAnsi="TimesNewRomanPSMT" w:cs="TimesNewRomanPSMT"/>
          <w:lang w:eastAsia="ja-JP"/>
        </w:rPr>
        <w:t>)</w:t>
      </w:r>
      <w:r w:rsidR="004B6698" w:rsidRPr="00CD5941">
        <w:rPr>
          <w:rFonts w:ascii="TimesNewRomanPSMT" w:hAnsi="TimesNewRomanPSMT" w:cs="TimesNewRomanPSMT"/>
          <w:lang w:eastAsia="ja-JP"/>
        </w:rPr>
        <w:t xml:space="preserve"> 214-26.</w:t>
      </w:r>
    </w:p>
    <w:p w14:paraId="7E0DFA3D" w14:textId="14C92A88" w:rsidR="00EF0589" w:rsidRPr="00CD5941" w:rsidRDefault="007828AB" w:rsidP="00EF0589">
      <w:pPr>
        <w:pStyle w:val="Paragrafoelenco"/>
        <w:widowControl w:val="0"/>
        <w:numPr>
          <w:ilvl w:val="0"/>
          <w:numId w:val="1"/>
        </w:numPr>
        <w:autoSpaceDE w:val="0"/>
        <w:autoSpaceDN w:val="0"/>
        <w:adjustRightInd w:val="0"/>
        <w:spacing w:line="480" w:lineRule="auto"/>
        <w:jc w:val="both"/>
        <w:rPr>
          <w:rFonts w:ascii="Cheltenham-Book" w:hAnsi="Cheltenham-Book" w:cs="Cheltenham-Book"/>
          <w:lang w:eastAsia="ja-JP"/>
        </w:rPr>
      </w:pPr>
      <w:r>
        <w:t xml:space="preserve">P. </w:t>
      </w:r>
      <w:r w:rsidR="00EF0589" w:rsidRPr="00D85C4C">
        <w:t xml:space="preserve">Clezardin, </w:t>
      </w:r>
      <w:r>
        <w:t xml:space="preserve">F.H. </w:t>
      </w:r>
      <w:r w:rsidR="00EF0589" w:rsidRPr="00D85C4C">
        <w:t xml:space="preserve">Ebetino, </w:t>
      </w:r>
      <w:r>
        <w:t xml:space="preserve">P.G. </w:t>
      </w:r>
      <w:r w:rsidR="00EF0589" w:rsidRPr="00D85C4C">
        <w:t>Fournier, Bisphosphonates and cancer-induced bone disease: beyond their antiresorptive activity</w:t>
      </w:r>
      <w:r w:rsidR="00E261B0">
        <w:t>,</w:t>
      </w:r>
      <w:r w:rsidR="00E261B0" w:rsidRPr="00D85C4C">
        <w:t xml:space="preserve"> </w:t>
      </w:r>
      <w:r w:rsidR="00EF0589" w:rsidRPr="007828AB">
        <w:t>Cancer Res.</w:t>
      </w:r>
      <w:r>
        <w:t xml:space="preserve"> 65</w:t>
      </w:r>
      <w:r w:rsidR="00EF0589" w:rsidRPr="007828AB">
        <w:t xml:space="preserve"> </w:t>
      </w:r>
      <w:r>
        <w:t>(</w:t>
      </w:r>
      <w:r w:rsidR="00EF0589" w:rsidRPr="007828AB">
        <w:t>2005</w:t>
      </w:r>
      <w:r>
        <w:t>)</w:t>
      </w:r>
      <w:r w:rsidR="00EF0589" w:rsidRPr="00D85C4C">
        <w:rPr>
          <w:i/>
        </w:rPr>
        <w:t xml:space="preserve"> </w:t>
      </w:r>
      <w:r w:rsidR="00EF0589" w:rsidRPr="00D85C4C">
        <w:t>4971–4974.</w:t>
      </w:r>
    </w:p>
    <w:p w14:paraId="36F3F099" w14:textId="5D4AAC84" w:rsidR="00EF0589" w:rsidRPr="00D85C4C" w:rsidRDefault="009F659C" w:rsidP="00EF0589">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t xml:space="preserve">J.R. </w:t>
      </w:r>
      <w:r w:rsidR="00EF0589" w:rsidRPr="00D85C4C">
        <w:t>Green, Bisphosphonates: preclinical review</w:t>
      </w:r>
      <w:r w:rsidR="00E261B0">
        <w:t>,</w:t>
      </w:r>
      <w:r w:rsidR="00E261B0" w:rsidRPr="00D85C4C">
        <w:t xml:space="preserve"> </w:t>
      </w:r>
      <w:r w:rsidR="00EF0589" w:rsidRPr="009F659C">
        <w:t xml:space="preserve">Oncologist. </w:t>
      </w:r>
      <w:r>
        <w:t>9 (</w:t>
      </w:r>
      <w:r w:rsidR="00EF0589" w:rsidRPr="009F659C">
        <w:t>2004</w:t>
      </w:r>
      <w:r>
        <w:t>)</w:t>
      </w:r>
      <w:r w:rsidR="00EF0589" w:rsidRPr="00D85C4C">
        <w:rPr>
          <w:i/>
        </w:rPr>
        <w:t xml:space="preserve"> </w:t>
      </w:r>
      <w:r w:rsidR="00EF0589" w:rsidRPr="00D85C4C">
        <w:t>3–13.</w:t>
      </w:r>
    </w:p>
    <w:p w14:paraId="1123833A" w14:textId="11315329" w:rsidR="004B6698" w:rsidRPr="00D85C4C" w:rsidRDefault="00E261B0">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rPr>
          <w:bCs/>
        </w:rPr>
        <w:t xml:space="preserve">M.T. </w:t>
      </w:r>
      <w:r w:rsidR="004B6698" w:rsidRPr="00D85C4C">
        <w:rPr>
          <w:bCs/>
        </w:rPr>
        <w:t>Drake,</w:t>
      </w:r>
      <w:r>
        <w:rPr>
          <w:bCs/>
        </w:rPr>
        <w:t xml:space="preserve"> B.L.</w:t>
      </w:r>
      <w:r w:rsidR="004B6698" w:rsidRPr="00D85C4C">
        <w:rPr>
          <w:bCs/>
        </w:rPr>
        <w:t xml:space="preserve"> Clarke, </w:t>
      </w:r>
      <w:r>
        <w:rPr>
          <w:bCs/>
        </w:rPr>
        <w:t xml:space="preserve">S. </w:t>
      </w:r>
      <w:r w:rsidR="004B6698" w:rsidRPr="00D85C4C">
        <w:rPr>
          <w:bCs/>
        </w:rPr>
        <w:t>Khosla, Bisphosphonates: mechanism of action and role in clinical practice</w:t>
      </w:r>
      <w:r>
        <w:rPr>
          <w:bCs/>
        </w:rPr>
        <w:t>,</w:t>
      </w:r>
      <w:r w:rsidRPr="00D85C4C">
        <w:rPr>
          <w:bCs/>
        </w:rPr>
        <w:t xml:space="preserve"> </w:t>
      </w:r>
      <w:r w:rsidR="004B6698" w:rsidRPr="00E261B0">
        <w:rPr>
          <w:bCs/>
        </w:rPr>
        <w:t xml:space="preserve">Mayo Clin. Proc. </w:t>
      </w:r>
      <w:r>
        <w:rPr>
          <w:bCs/>
        </w:rPr>
        <w:t>83 (</w:t>
      </w:r>
      <w:r w:rsidR="004B6698" w:rsidRPr="00E261B0">
        <w:rPr>
          <w:bCs/>
        </w:rPr>
        <w:t>2008</w:t>
      </w:r>
      <w:r>
        <w:rPr>
          <w:bCs/>
        </w:rPr>
        <w:t>)</w:t>
      </w:r>
      <w:r w:rsidR="004B6698" w:rsidRPr="00E261B0">
        <w:rPr>
          <w:bCs/>
        </w:rPr>
        <w:t xml:space="preserve"> 1</w:t>
      </w:r>
      <w:r w:rsidR="004B6698" w:rsidRPr="00D85C4C">
        <w:rPr>
          <w:bCs/>
        </w:rPr>
        <w:t>032-1045.</w:t>
      </w:r>
    </w:p>
    <w:p w14:paraId="31BDD843" w14:textId="0EBBB155" w:rsidR="004157D4" w:rsidRPr="00D85C4C" w:rsidRDefault="00E261B0">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t xml:space="preserve">F. </w:t>
      </w:r>
      <w:r w:rsidR="004157D4" w:rsidRPr="00D85C4C">
        <w:t>Saad,</w:t>
      </w:r>
      <w:r>
        <w:t xml:space="preserve"> D.M. </w:t>
      </w:r>
      <w:r w:rsidR="004157D4" w:rsidRPr="00D85C4C">
        <w:t xml:space="preserve">Gleason, </w:t>
      </w:r>
      <w:r>
        <w:t xml:space="preserve">R. </w:t>
      </w:r>
      <w:r w:rsidR="004157D4" w:rsidRPr="00D85C4C">
        <w:t>Murray,</w:t>
      </w:r>
      <w:r>
        <w:t xml:space="preserve"> S.</w:t>
      </w:r>
      <w:r w:rsidR="004157D4" w:rsidRPr="00D85C4C">
        <w:t xml:space="preserve"> Tchekmedyian, </w:t>
      </w:r>
      <w:r>
        <w:t xml:space="preserve">P. </w:t>
      </w:r>
      <w:r w:rsidR="004157D4" w:rsidRPr="00D85C4C">
        <w:t>Venner,</w:t>
      </w:r>
      <w:r>
        <w:t xml:space="preserve"> L.</w:t>
      </w:r>
      <w:r w:rsidR="004157D4" w:rsidRPr="00D85C4C">
        <w:t xml:space="preserve"> Lacombe, </w:t>
      </w:r>
      <w:r>
        <w:t xml:space="preserve">J.L. </w:t>
      </w:r>
      <w:r w:rsidR="004157D4" w:rsidRPr="00D85C4C">
        <w:t>Chin,</w:t>
      </w:r>
      <w:r>
        <w:t xml:space="preserve"> J.J. </w:t>
      </w:r>
      <w:r w:rsidR="004157D4" w:rsidRPr="00D85C4C">
        <w:t xml:space="preserve">Vinholes, </w:t>
      </w:r>
      <w:r>
        <w:t xml:space="preserve">J.A. </w:t>
      </w:r>
      <w:r w:rsidR="004157D4" w:rsidRPr="00D85C4C">
        <w:t xml:space="preserve">Goas, </w:t>
      </w:r>
      <w:r>
        <w:t xml:space="preserve">M. </w:t>
      </w:r>
      <w:r w:rsidR="004157D4" w:rsidRPr="00D85C4C">
        <w:t>Zheng, Zoledronic Acid Prostate Cancer Study Group. Long-term efficacy of zoledronic acid for the prevention of skeletal complications in patients with metastatic hormone-refractory prostate cancer</w:t>
      </w:r>
      <w:r w:rsidR="00D74616">
        <w:t>,</w:t>
      </w:r>
      <w:r w:rsidR="00D74616" w:rsidRPr="00E261B0">
        <w:t xml:space="preserve"> </w:t>
      </w:r>
      <w:r w:rsidR="004157D4" w:rsidRPr="00E261B0">
        <w:rPr>
          <w:iCs/>
        </w:rPr>
        <w:t>J. Natl. Cancer. Inst.</w:t>
      </w:r>
      <w:r w:rsidR="004157D4" w:rsidRPr="00E261B0">
        <w:t xml:space="preserve"> </w:t>
      </w:r>
      <w:r>
        <w:t>96 (</w:t>
      </w:r>
      <w:r w:rsidR="004157D4" w:rsidRPr="00E261B0">
        <w:t>2004</w:t>
      </w:r>
      <w:r>
        <w:t>)</w:t>
      </w:r>
      <w:r w:rsidR="004157D4" w:rsidRPr="00D85C4C">
        <w:t xml:space="preserve"> 879–882.</w:t>
      </w:r>
    </w:p>
    <w:p w14:paraId="4A7BEFC2" w14:textId="471B95CE" w:rsidR="003B4CD4" w:rsidRPr="00D85C4C" w:rsidRDefault="00D74616">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rPr>
          <w:rFonts w:ascii="TimesNewRomanPSMT" w:hAnsi="TimesNewRomanPSMT" w:cs="TimesNewRomanPSMT"/>
          <w:lang w:eastAsia="ja-JP"/>
        </w:rPr>
        <w:t xml:space="preserve">R. </w:t>
      </w:r>
      <w:r w:rsidR="003B4CD4" w:rsidRPr="00D85C4C">
        <w:rPr>
          <w:rFonts w:ascii="TimesNewRomanPSMT" w:hAnsi="TimesNewRomanPSMT" w:cs="TimesNewRomanPSMT"/>
          <w:lang w:eastAsia="ja-JP"/>
        </w:rPr>
        <w:t xml:space="preserve">Maisano, </w:t>
      </w:r>
      <w:r>
        <w:rPr>
          <w:rFonts w:ascii="TimesNewRomanPSMT" w:hAnsi="TimesNewRomanPSMT" w:cs="TimesNewRomanPSMT"/>
          <w:lang w:eastAsia="ja-JP"/>
        </w:rPr>
        <w:t xml:space="preserve">S. </w:t>
      </w:r>
      <w:r w:rsidR="003B4CD4" w:rsidRPr="00D85C4C">
        <w:rPr>
          <w:rFonts w:ascii="TimesNewRomanPSMT" w:hAnsi="TimesNewRomanPSMT" w:cs="TimesNewRomanPSMT"/>
          <w:lang w:eastAsia="ja-JP"/>
        </w:rPr>
        <w:t xml:space="preserve">Pergolizzi, </w:t>
      </w:r>
      <w:r>
        <w:rPr>
          <w:rFonts w:ascii="TimesNewRomanPSMT" w:hAnsi="TimesNewRomanPSMT" w:cs="TimesNewRomanPSMT"/>
          <w:lang w:eastAsia="ja-JP"/>
        </w:rPr>
        <w:t xml:space="preserve">S. </w:t>
      </w:r>
      <w:r w:rsidR="003B4CD4" w:rsidRPr="00D85C4C">
        <w:rPr>
          <w:rFonts w:ascii="TimesNewRomanPSMT" w:hAnsi="TimesNewRomanPSMT" w:cs="TimesNewRomanPSMT"/>
          <w:lang w:eastAsia="ja-JP"/>
        </w:rPr>
        <w:t>Cascinu, Novel therapeutic approaches to cancer patients with bone metastasis</w:t>
      </w:r>
      <w:r>
        <w:rPr>
          <w:rFonts w:ascii="TimesNewRomanPSMT" w:hAnsi="TimesNewRomanPSMT" w:cs="TimesNewRomanPSMT"/>
          <w:lang w:eastAsia="ja-JP"/>
        </w:rPr>
        <w:t>,</w:t>
      </w:r>
      <w:r w:rsidRPr="00D85C4C">
        <w:rPr>
          <w:rFonts w:ascii="TimesNewRomanPSMT" w:hAnsi="TimesNewRomanPSMT" w:cs="TimesNewRomanPSMT"/>
          <w:lang w:eastAsia="ja-JP"/>
        </w:rPr>
        <w:t xml:space="preserve"> </w:t>
      </w:r>
      <w:r w:rsidR="003B4CD4" w:rsidRPr="00CD5941">
        <w:rPr>
          <w:rFonts w:ascii="TimesNewRomanPSMT" w:hAnsi="TimesNewRomanPSMT" w:cs="TimesNewRomanPSMT"/>
          <w:lang w:eastAsia="ja-JP"/>
        </w:rPr>
        <w:t xml:space="preserve">Crit. </w:t>
      </w:r>
      <w:r w:rsidR="003B4CD4" w:rsidRPr="00C229D1">
        <w:rPr>
          <w:rFonts w:ascii="TimesNewRomanPSMT" w:hAnsi="TimesNewRomanPSMT" w:cs="TimesNewRomanPSMT"/>
          <w:lang w:val="it-IT" w:eastAsia="ja-JP"/>
        </w:rPr>
        <w:t>Rev. Oncol. Hematol.</w:t>
      </w:r>
      <w:r>
        <w:rPr>
          <w:rFonts w:ascii="TimesNewRomanPSMT" w:hAnsi="TimesNewRomanPSMT" w:cs="TimesNewRomanPSMT"/>
          <w:lang w:val="it-IT" w:eastAsia="ja-JP"/>
        </w:rPr>
        <w:t xml:space="preserve"> 40</w:t>
      </w:r>
      <w:r w:rsidR="003B4CD4" w:rsidRPr="00D85C4C">
        <w:rPr>
          <w:rFonts w:ascii="TimesNewRomanPSMT" w:hAnsi="TimesNewRomanPSMT" w:cs="TimesNewRomanPSMT"/>
          <w:lang w:val="it-IT" w:eastAsia="ja-JP"/>
        </w:rPr>
        <w:t xml:space="preserve"> </w:t>
      </w:r>
      <w:r w:rsidR="00C229D1" w:rsidRPr="00C229D1">
        <w:rPr>
          <w:rFonts w:ascii="TimesNewRomanPSMT" w:hAnsi="TimesNewRomanPSMT" w:cs="TimesNewRomanPSMT"/>
          <w:lang w:val="it-IT" w:eastAsia="ja-JP"/>
        </w:rPr>
        <w:t>(</w:t>
      </w:r>
      <w:r w:rsidR="003B4CD4" w:rsidRPr="00C229D1">
        <w:rPr>
          <w:rFonts w:ascii="TimesNewRomanPSMT" w:hAnsi="TimesNewRomanPSMT" w:cs="TimesNewRomanPSMT"/>
          <w:lang w:val="it-IT" w:eastAsia="ja-JP"/>
        </w:rPr>
        <w:t>2001</w:t>
      </w:r>
      <w:r w:rsidR="00C229D1" w:rsidRPr="00C229D1">
        <w:rPr>
          <w:rFonts w:ascii="TimesNewRomanPSMT" w:hAnsi="TimesNewRomanPSMT" w:cs="TimesNewRomanPSMT"/>
          <w:lang w:val="it-IT" w:eastAsia="ja-JP"/>
        </w:rPr>
        <w:t>)</w:t>
      </w:r>
      <w:r w:rsidR="003B4CD4" w:rsidRPr="00D85C4C">
        <w:rPr>
          <w:rFonts w:ascii="TimesNewRomanPSMT" w:hAnsi="TimesNewRomanPSMT" w:cs="TimesNewRomanPSMT"/>
          <w:lang w:val="it-IT" w:eastAsia="ja-JP"/>
        </w:rPr>
        <w:t xml:space="preserve"> 239-50.</w:t>
      </w:r>
    </w:p>
    <w:p w14:paraId="1EEE1855" w14:textId="4368637F" w:rsidR="00592BC8" w:rsidRPr="00D85C4C" w:rsidRDefault="00744A11">
      <w:pPr>
        <w:pStyle w:val="Paragrafoelenco"/>
        <w:widowControl w:val="0"/>
        <w:numPr>
          <w:ilvl w:val="0"/>
          <w:numId w:val="1"/>
        </w:numPr>
        <w:autoSpaceDE w:val="0"/>
        <w:autoSpaceDN w:val="0"/>
        <w:adjustRightInd w:val="0"/>
        <w:spacing w:line="480" w:lineRule="auto"/>
        <w:jc w:val="both"/>
        <w:rPr>
          <w:rFonts w:ascii="Cheltenham-Book" w:hAnsi="Cheltenham-Book" w:cs="Cheltenham-Book"/>
          <w:lang w:val="it-IT" w:eastAsia="ja-JP"/>
        </w:rPr>
      </w:pPr>
      <w:r>
        <w:rPr>
          <w:bCs/>
        </w:rPr>
        <w:t xml:space="preserve">A. </w:t>
      </w:r>
      <w:r w:rsidR="00B03E2C" w:rsidRPr="00D85C4C">
        <w:rPr>
          <w:bCs/>
        </w:rPr>
        <w:t xml:space="preserve">Bigi, </w:t>
      </w:r>
      <w:r>
        <w:rPr>
          <w:bCs/>
        </w:rPr>
        <w:t xml:space="preserve">E. </w:t>
      </w:r>
      <w:r w:rsidR="00B03E2C" w:rsidRPr="00D85C4C">
        <w:rPr>
          <w:bCs/>
        </w:rPr>
        <w:t xml:space="preserve">Boanini, </w:t>
      </w:r>
      <w:r w:rsidR="00B03E2C" w:rsidRPr="00D85C4C">
        <w:rPr>
          <w:rFonts w:eastAsia="Times New Roman"/>
        </w:rPr>
        <w:t>Calcium Phosphates as Delivery Systems for Bisphosphonates</w:t>
      </w:r>
      <w:r>
        <w:rPr>
          <w:rFonts w:eastAsia="Times New Roman"/>
        </w:rPr>
        <w:t>,</w:t>
      </w:r>
      <w:r w:rsidR="00B03E2C" w:rsidRPr="00141F1C">
        <w:rPr>
          <w:bCs/>
        </w:rPr>
        <w:t xml:space="preserve"> </w:t>
      </w:r>
      <w:r w:rsidR="00A3051C" w:rsidRPr="00141F1C">
        <w:rPr>
          <w:bCs/>
        </w:rPr>
        <w:t>J. Funct. Biomater.</w:t>
      </w:r>
      <w:r w:rsidR="001C43D7" w:rsidRPr="00744A11">
        <w:t xml:space="preserve"> </w:t>
      </w:r>
      <w:r>
        <w:t>9 (</w:t>
      </w:r>
      <w:r w:rsidR="001C43D7" w:rsidRPr="00141F1C">
        <w:t>20</w:t>
      </w:r>
      <w:r w:rsidR="00A3051C" w:rsidRPr="00141F1C">
        <w:t>18</w:t>
      </w:r>
      <w:r>
        <w:t>)</w:t>
      </w:r>
      <w:r w:rsidR="001C43D7" w:rsidRPr="00D85C4C">
        <w:t xml:space="preserve"> </w:t>
      </w:r>
      <w:r w:rsidR="00A3051C" w:rsidRPr="00D85C4C">
        <w:t>6</w:t>
      </w:r>
      <w:r w:rsidR="00592BC8" w:rsidRPr="00D85C4C">
        <w:t>.</w:t>
      </w:r>
    </w:p>
    <w:p w14:paraId="6F7FAAE2" w14:textId="1875332C" w:rsidR="00D94FDF" w:rsidRPr="00CD5941" w:rsidRDefault="00141F1C">
      <w:pPr>
        <w:pStyle w:val="Paragrafoelenco"/>
        <w:widowControl w:val="0"/>
        <w:numPr>
          <w:ilvl w:val="0"/>
          <w:numId w:val="1"/>
        </w:numPr>
        <w:tabs>
          <w:tab w:val="left" w:pos="851"/>
        </w:tabs>
        <w:autoSpaceDE w:val="0"/>
        <w:autoSpaceDN w:val="0"/>
        <w:adjustRightInd w:val="0"/>
        <w:spacing w:line="480" w:lineRule="auto"/>
        <w:jc w:val="both"/>
        <w:rPr>
          <w:rFonts w:ascii="Cheltenham-Book" w:hAnsi="Cheltenham-Book" w:cs="Cheltenham-Book"/>
          <w:lang w:eastAsia="ja-JP"/>
        </w:rPr>
      </w:pPr>
      <w:r>
        <w:rPr>
          <w:rFonts w:ascii="Cheltenham-Book" w:hAnsi="Cheltenham-Book" w:cs="Cheltenham-Book"/>
          <w:lang w:eastAsia="ja-JP"/>
        </w:rPr>
        <w:t xml:space="preserve">M. </w:t>
      </w:r>
      <w:r w:rsidR="00592BC8" w:rsidRPr="00D85C4C">
        <w:rPr>
          <w:rFonts w:ascii="Cheltenham-Book" w:hAnsi="Cheltenham-Book" w:cs="Cheltenham-Book"/>
          <w:lang w:eastAsia="ja-JP"/>
        </w:rPr>
        <w:t>Pazianas,</w:t>
      </w:r>
      <w:r>
        <w:rPr>
          <w:rFonts w:ascii="Cheltenham-Book" w:hAnsi="Cheltenham-Book" w:cs="Cheltenham-Book"/>
          <w:lang w:eastAsia="ja-JP"/>
        </w:rPr>
        <w:t xml:space="preserve"> S.</w:t>
      </w:r>
      <w:r w:rsidR="00592BC8" w:rsidRPr="00D85C4C">
        <w:rPr>
          <w:rFonts w:ascii="Cheltenham-Book" w:hAnsi="Cheltenham-Book" w:cs="Cheltenham-Book"/>
          <w:lang w:eastAsia="ja-JP"/>
        </w:rPr>
        <w:t xml:space="preserve"> van der Geest</w:t>
      </w:r>
      <w:r>
        <w:rPr>
          <w:rFonts w:ascii="Cheltenham-Book" w:hAnsi="Cheltenham-Book" w:cs="Cheltenham-Book"/>
          <w:lang w:eastAsia="ja-JP"/>
        </w:rPr>
        <w:t>, P.</w:t>
      </w:r>
      <w:r w:rsidR="00592BC8" w:rsidRPr="00D85C4C">
        <w:rPr>
          <w:rFonts w:ascii="Cheltenham-Book" w:hAnsi="Cheltenham-Book" w:cs="Cheltenham-Book"/>
          <w:lang w:eastAsia="ja-JP"/>
        </w:rPr>
        <w:t xml:space="preserve"> Miller, Bisphosphonates and bone quality</w:t>
      </w:r>
      <w:r>
        <w:rPr>
          <w:rFonts w:ascii="Cheltenham-Book" w:hAnsi="Cheltenham-Book" w:cs="Cheltenham-Book"/>
          <w:lang w:eastAsia="ja-JP"/>
        </w:rPr>
        <w:t>,</w:t>
      </w:r>
      <w:r w:rsidR="00592BC8" w:rsidRPr="00141F1C">
        <w:rPr>
          <w:rFonts w:ascii="Cheltenham-Book" w:hAnsi="Cheltenham-Book" w:cs="Cheltenham-Book"/>
          <w:lang w:eastAsia="ja-JP"/>
        </w:rPr>
        <w:t xml:space="preserve"> </w:t>
      </w:r>
      <w:r w:rsidR="00592BC8" w:rsidRPr="00CD5941">
        <w:rPr>
          <w:rFonts w:ascii="Cheltenham-Book" w:hAnsi="Cheltenham-Book" w:cs="Cheltenham-Book"/>
          <w:lang w:eastAsia="ja-JP"/>
        </w:rPr>
        <w:t xml:space="preserve">BoneKEy Treports </w:t>
      </w:r>
      <w:r w:rsidRPr="00CD5941">
        <w:rPr>
          <w:rFonts w:ascii="Cheltenham-Book" w:hAnsi="Cheltenham-Book" w:cs="Cheltenham-Book"/>
          <w:lang w:eastAsia="ja-JP"/>
        </w:rPr>
        <w:t>3, (</w:t>
      </w:r>
      <w:r w:rsidR="00592BC8" w:rsidRPr="00CD5941">
        <w:rPr>
          <w:rFonts w:ascii="Cheltenham-Book" w:hAnsi="Cheltenham-Book" w:cs="Cheltenham-Book"/>
          <w:lang w:eastAsia="ja-JP"/>
        </w:rPr>
        <w:t>2014</w:t>
      </w:r>
      <w:r w:rsidRPr="00CD5941">
        <w:rPr>
          <w:rFonts w:ascii="Cheltenham-Book" w:hAnsi="Cheltenham-Book" w:cs="Cheltenham-Book"/>
          <w:lang w:eastAsia="ja-JP"/>
        </w:rPr>
        <w:t>)</w:t>
      </w:r>
      <w:r w:rsidR="00592BC8" w:rsidRPr="00CD5941">
        <w:rPr>
          <w:rFonts w:ascii="Cheltenham-Book" w:hAnsi="Cheltenham-Book" w:cs="Cheltenham-Book"/>
          <w:lang w:eastAsia="ja-JP"/>
        </w:rPr>
        <w:t xml:space="preserve"> </w:t>
      </w:r>
      <w:r w:rsidR="00F05E0F" w:rsidRPr="00CD5941">
        <w:rPr>
          <w:rFonts w:ascii="Cheltenham-Book" w:hAnsi="Cheltenham-Book" w:cs="Cheltenham-Book"/>
          <w:lang w:eastAsia="ja-JP"/>
        </w:rPr>
        <w:t xml:space="preserve">article </w:t>
      </w:r>
      <w:r w:rsidR="00592BC8" w:rsidRPr="00CD5941">
        <w:rPr>
          <w:rFonts w:ascii="Cheltenham-Book" w:hAnsi="Cheltenham-Book" w:cs="Cheltenham-Book"/>
          <w:lang w:eastAsia="ja-JP"/>
        </w:rPr>
        <w:t>number: 529.</w:t>
      </w:r>
    </w:p>
    <w:p w14:paraId="498CC4B6" w14:textId="70E35B99" w:rsidR="001C43D7" w:rsidRPr="00D85C4C" w:rsidRDefault="002A172A">
      <w:pPr>
        <w:pStyle w:val="Paragrafoelenco"/>
        <w:widowControl w:val="0"/>
        <w:numPr>
          <w:ilvl w:val="0"/>
          <w:numId w:val="1"/>
        </w:numPr>
        <w:tabs>
          <w:tab w:val="left" w:pos="851"/>
        </w:tabs>
        <w:autoSpaceDE w:val="0"/>
        <w:autoSpaceDN w:val="0"/>
        <w:adjustRightInd w:val="0"/>
        <w:spacing w:line="480" w:lineRule="auto"/>
        <w:jc w:val="both"/>
        <w:rPr>
          <w:rFonts w:ascii="Cheltenham-Book" w:hAnsi="Cheltenham-Book" w:cs="Cheltenham-Book"/>
          <w:lang w:val="it-IT" w:eastAsia="ja-JP"/>
        </w:rPr>
      </w:pPr>
      <w:r>
        <w:t xml:space="preserve">F.H. </w:t>
      </w:r>
      <w:r w:rsidR="001C43D7" w:rsidRPr="00D85C4C">
        <w:t>Ebetino,</w:t>
      </w:r>
      <w:r>
        <w:t xml:space="preserve"> M.D. </w:t>
      </w:r>
      <w:r w:rsidR="001C43D7" w:rsidRPr="00D85C4C">
        <w:t xml:space="preserve"> Francis</w:t>
      </w:r>
      <w:r>
        <w:t>,</w:t>
      </w:r>
      <w:r w:rsidR="001C43D7" w:rsidRPr="00D85C4C">
        <w:t xml:space="preserve"> </w:t>
      </w:r>
      <w:r>
        <w:t xml:space="preserve">M.J. </w:t>
      </w:r>
      <w:r w:rsidR="001C43D7" w:rsidRPr="00D85C4C">
        <w:t>Rogers,</w:t>
      </w:r>
      <w:r>
        <w:t xml:space="preserve"> R.G.G.</w:t>
      </w:r>
      <w:r w:rsidR="001C43D7" w:rsidRPr="00D85C4C">
        <w:t xml:space="preserve"> Russell, Mechanisms of action of etidronate and other bisphosphonates</w:t>
      </w:r>
      <w:r>
        <w:t>,</w:t>
      </w:r>
      <w:r w:rsidRPr="00D85C4C">
        <w:t xml:space="preserve"> </w:t>
      </w:r>
      <w:r w:rsidR="001C43D7" w:rsidRPr="002A172A">
        <w:t>Rev. Contemp. Pharmacother.</w:t>
      </w:r>
      <w:r w:rsidR="001C43D7" w:rsidRPr="00D85C4C">
        <w:t xml:space="preserve"> </w:t>
      </w:r>
      <w:r w:rsidRPr="002A172A">
        <w:t>9 (</w:t>
      </w:r>
      <w:r w:rsidR="001C43D7" w:rsidRPr="002A172A">
        <w:t>1998</w:t>
      </w:r>
      <w:r w:rsidRPr="002A172A">
        <w:t>)</w:t>
      </w:r>
      <w:r>
        <w:t xml:space="preserve"> </w:t>
      </w:r>
      <w:r w:rsidR="001C43D7" w:rsidRPr="008F297D">
        <w:t>233–243.</w:t>
      </w:r>
    </w:p>
    <w:p w14:paraId="7F1CBC7C" w14:textId="06500E92" w:rsidR="001C43D7" w:rsidRPr="000B7968" w:rsidRDefault="000B7968">
      <w:pPr>
        <w:pStyle w:val="TFReferencesSection"/>
        <w:numPr>
          <w:ilvl w:val="0"/>
          <w:numId w:val="1"/>
        </w:numPr>
        <w:tabs>
          <w:tab w:val="left" w:pos="851"/>
        </w:tabs>
        <w:rPr>
          <w:szCs w:val="24"/>
        </w:rPr>
      </w:pPr>
      <w:r>
        <w:rPr>
          <w:szCs w:val="24"/>
        </w:rPr>
        <w:t xml:space="preserve">M. </w:t>
      </w:r>
      <w:r w:rsidR="001C43D7" w:rsidRPr="00D85C4C">
        <w:rPr>
          <w:szCs w:val="24"/>
        </w:rPr>
        <w:t xml:space="preserve">Sato, </w:t>
      </w:r>
      <w:r>
        <w:rPr>
          <w:szCs w:val="24"/>
        </w:rPr>
        <w:t xml:space="preserve">W. </w:t>
      </w:r>
      <w:r w:rsidR="001C43D7" w:rsidRPr="00D85C4C">
        <w:rPr>
          <w:szCs w:val="24"/>
        </w:rPr>
        <w:t xml:space="preserve">Grasser, </w:t>
      </w:r>
      <w:r>
        <w:rPr>
          <w:szCs w:val="24"/>
        </w:rPr>
        <w:t xml:space="preserve">N. </w:t>
      </w:r>
      <w:r w:rsidR="001C43D7" w:rsidRPr="00D85C4C">
        <w:rPr>
          <w:szCs w:val="24"/>
        </w:rPr>
        <w:t xml:space="preserve">Endo, </w:t>
      </w:r>
      <w:r>
        <w:rPr>
          <w:szCs w:val="24"/>
        </w:rPr>
        <w:t xml:space="preserve">R. </w:t>
      </w:r>
      <w:r w:rsidR="001C43D7" w:rsidRPr="00D85C4C">
        <w:rPr>
          <w:szCs w:val="24"/>
        </w:rPr>
        <w:t xml:space="preserve">Akins, </w:t>
      </w:r>
      <w:r>
        <w:rPr>
          <w:szCs w:val="24"/>
        </w:rPr>
        <w:t xml:space="preserve">H. </w:t>
      </w:r>
      <w:r w:rsidR="001C43D7" w:rsidRPr="00D85C4C">
        <w:rPr>
          <w:szCs w:val="24"/>
        </w:rPr>
        <w:t xml:space="preserve">Simmons, </w:t>
      </w:r>
      <w:r>
        <w:rPr>
          <w:szCs w:val="24"/>
        </w:rPr>
        <w:t xml:space="preserve">D.D </w:t>
      </w:r>
      <w:r w:rsidR="001C43D7" w:rsidRPr="00D85C4C">
        <w:rPr>
          <w:szCs w:val="24"/>
        </w:rPr>
        <w:t xml:space="preserve">Thompson, </w:t>
      </w:r>
      <w:r>
        <w:rPr>
          <w:szCs w:val="24"/>
        </w:rPr>
        <w:t xml:space="preserve">E. </w:t>
      </w:r>
      <w:r w:rsidR="001C43D7" w:rsidRPr="00D85C4C">
        <w:rPr>
          <w:szCs w:val="24"/>
        </w:rPr>
        <w:t xml:space="preserve">Golub, </w:t>
      </w:r>
      <w:r>
        <w:rPr>
          <w:szCs w:val="24"/>
        </w:rPr>
        <w:t xml:space="preserve">G.A. </w:t>
      </w:r>
      <w:r w:rsidR="001C43D7" w:rsidRPr="00D85C4C">
        <w:rPr>
          <w:szCs w:val="24"/>
        </w:rPr>
        <w:t>Rodan,</w:t>
      </w:r>
      <w:r w:rsidR="001C43D7" w:rsidRPr="006A6457">
        <w:rPr>
          <w:szCs w:val="24"/>
        </w:rPr>
        <w:t xml:space="preserve"> Bisphosphonate Action Alendronate Localization in Rat Bone and Effects on Osteoclast Ultrastructure</w:t>
      </w:r>
      <w:r>
        <w:rPr>
          <w:szCs w:val="24"/>
        </w:rPr>
        <w:t>,</w:t>
      </w:r>
      <w:r w:rsidRPr="006A6457">
        <w:rPr>
          <w:szCs w:val="24"/>
        </w:rPr>
        <w:t xml:space="preserve"> </w:t>
      </w:r>
      <w:r w:rsidR="001C43D7" w:rsidRPr="002B409F">
        <w:rPr>
          <w:iCs/>
          <w:szCs w:val="24"/>
        </w:rPr>
        <w:t>J. Clin. Invest.</w:t>
      </w:r>
      <w:r>
        <w:rPr>
          <w:iCs/>
          <w:szCs w:val="24"/>
        </w:rPr>
        <w:t xml:space="preserve"> 88</w:t>
      </w:r>
      <w:r w:rsidR="001C43D7" w:rsidRPr="000B7968">
        <w:rPr>
          <w:szCs w:val="24"/>
        </w:rPr>
        <w:t xml:space="preserve"> </w:t>
      </w:r>
      <w:r>
        <w:rPr>
          <w:szCs w:val="24"/>
        </w:rPr>
        <w:t>(</w:t>
      </w:r>
      <w:r w:rsidR="001C43D7" w:rsidRPr="002B409F">
        <w:rPr>
          <w:szCs w:val="24"/>
        </w:rPr>
        <w:t>1991</w:t>
      </w:r>
      <w:r>
        <w:rPr>
          <w:szCs w:val="24"/>
        </w:rPr>
        <w:t>)</w:t>
      </w:r>
      <w:r w:rsidR="001C43D7" w:rsidRPr="000B7968">
        <w:rPr>
          <w:b/>
          <w:bCs/>
          <w:szCs w:val="24"/>
        </w:rPr>
        <w:t xml:space="preserve"> </w:t>
      </w:r>
      <w:r w:rsidR="001C43D7" w:rsidRPr="000B7968">
        <w:rPr>
          <w:szCs w:val="24"/>
        </w:rPr>
        <w:t>2095–2105.</w:t>
      </w:r>
    </w:p>
    <w:p w14:paraId="0EF9840B" w14:textId="2434988C" w:rsidR="00452711" w:rsidRPr="00D85C4C" w:rsidRDefault="00733238" w:rsidP="00452711">
      <w:pPr>
        <w:pStyle w:val="TFReferencesSection"/>
        <w:numPr>
          <w:ilvl w:val="0"/>
          <w:numId w:val="1"/>
        </w:numPr>
        <w:tabs>
          <w:tab w:val="left" w:pos="851"/>
        </w:tabs>
        <w:rPr>
          <w:szCs w:val="24"/>
        </w:rPr>
      </w:pPr>
      <w:r>
        <w:rPr>
          <w:rFonts w:ascii="TimesNewRomanPSMT" w:hAnsi="TimesNewRomanPSMT" w:cs="TimesNewRomanPSMT"/>
          <w:szCs w:val="24"/>
          <w:lang w:eastAsia="ja-JP"/>
        </w:rPr>
        <w:t xml:space="preserve">M.J. </w:t>
      </w:r>
      <w:r w:rsidR="00452711" w:rsidRPr="00D85C4C">
        <w:rPr>
          <w:rFonts w:ascii="TimesNewRomanPSMT" w:hAnsi="TimesNewRomanPSMT" w:cs="TimesNewRomanPSMT"/>
          <w:szCs w:val="24"/>
          <w:lang w:eastAsia="ja-JP"/>
        </w:rPr>
        <w:t xml:space="preserve">Rogers, </w:t>
      </w:r>
      <w:r>
        <w:rPr>
          <w:rFonts w:ascii="TimesNewRomanPSMT" w:hAnsi="TimesNewRomanPSMT" w:cs="TimesNewRomanPSMT"/>
          <w:szCs w:val="24"/>
          <w:lang w:eastAsia="ja-JP"/>
        </w:rPr>
        <w:t xml:space="preserve"> X. </w:t>
      </w:r>
      <w:r w:rsidR="00452711" w:rsidRPr="00D85C4C">
        <w:rPr>
          <w:rFonts w:ascii="TimesNewRomanPSMT" w:hAnsi="TimesNewRomanPSMT" w:cs="TimesNewRomanPSMT"/>
          <w:szCs w:val="24"/>
          <w:lang w:eastAsia="ja-JP"/>
        </w:rPr>
        <w:t xml:space="preserve">Xiong, </w:t>
      </w:r>
      <w:r>
        <w:rPr>
          <w:rFonts w:ascii="TimesNewRomanPSMT" w:hAnsi="TimesNewRomanPSMT" w:cs="TimesNewRomanPSMT"/>
          <w:szCs w:val="24"/>
          <w:lang w:eastAsia="ja-JP"/>
        </w:rPr>
        <w:t xml:space="preserve">X. </w:t>
      </w:r>
      <w:r w:rsidR="00452711" w:rsidRPr="00D85C4C">
        <w:rPr>
          <w:rFonts w:ascii="TimesNewRomanPSMT" w:hAnsi="TimesNewRomanPSMT" w:cs="TimesNewRomanPSMT"/>
          <w:szCs w:val="24"/>
          <w:lang w:eastAsia="ja-JP"/>
        </w:rPr>
        <w:t>Ji, Inhibition of growth of dictyostelium discoideum amoebae by bisphosphonates is dependent on cellular uptake</w:t>
      </w:r>
      <w:r>
        <w:rPr>
          <w:rFonts w:ascii="TimesNewRomanPSMT" w:hAnsi="TimesNewRomanPSMT" w:cs="TimesNewRomanPSMT"/>
          <w:szCs w:val="24"/>
          <w:lang w:eastAsia="ja-JP"/>
        </w:rPr>
        <w:t>,</w:t>
      </w:r>
      <w:r w:rsidR="00452711" w:rsidRPr="00D85C4C">
        <w:rPr>
          <w:rFonts w:ascii="TimesNewRomanPSMT" w:hAnsi="TimesNewRomanPSMT" w:cs="TimesNewRomanPSMT"/>
          <w:szCs w:val="24"/>
          <w:lang w:eastAsia="ja-JP"/>
        </w:rPr>
        <w:t xml:space="preserve"> </w:t>
      </w:r>
      <w:r w:rsidR="00452711" w:rsidRPr="00711DFD">
        <w:rPr>
          <w:rFonts w:ascii="TimesNewRomanPSMT" w:hAnsi="TimesNewRomanPSMT" w:cs="TimesNewRomanPSMT"/>
          <w:szCs w:val="24"/>
          <w:lang w:eastAsia="ja-JP"/>
        </w:rPr>
        <w:t>Pharmacol. Res.</w:t>
      </w:r>
      <w:r>
        <w:rPr>
          <w:rFonts w:ascii="TimesNewRomanPSMT" w:hAnsi="TimesNewRomanPSMT" w:cs="TimesNewRomanPSMT"/>
          <w:szCs w:val="24"/>
          <w:lang w:eastAsia="ja-JP"/>
        </w:rPr>
        <w:t xml:space="preserve"> 14</w:t>
      </w:r>
      <w:r w:rsidR="00452711" w:rsidRPr="00733238">
        <w:rPr>
          <w:rFonts w:ascii="TimesNewRomanPSMT" w:hAnsi="TimesNewRomanPSMT" w:cs="TimesNewRomanPSMT"/>
          <w:szCs w:val="24"/>
          <w:lang w:eastAsia="ja-JP"/>
        </w:rPr>
        <w:t xml:space="preserve"> </w:t>
      </w:r>
      <w:r>
        <w:rPr>
          <w:rFonts w:ascii="TimesNewRomanPSMT" w:hAnsi="TimesNewRomanPSMT" w:cs="TimesNewRomanPSMT"/>
          <w:szCs w:val="24"/>
          <w:lang w:eastAsia="ja-JP"/>
        </w:rPr>
        <w:t>(</w:t>
      </w:r>
      <w:r w:rsidR="00452711" w:rsidRPr="00711DFD">
        <w:rPr>
          <w:rFonts w:ascii="TimesNewRomanPSMT" w:hAnsi="TimesNewRomanPSMT" w:cs="TimesNewRomanPSMT"/>
          <w:szCs w:val="24"/>
          <w:lang w:eastAsia="ja-JP"/>
        </w:rPr>
        <w:t>1997</w:t>
      </w:r>
      <w:r>
        <w:rPr>
          <w:rFonts w:ascii="TimesNewRomanPSMT" w:hAnsi="TimesNewRomanPSMT" w:cs="TimesNewRomanPSMT"/>
          <w:szCs w:val="24"/>
          <w:lang w:eastAsia="ja-JP"/>
        </w:rPr>
        <w:t>)</w:t>
      </w:r>
      <w:r w:rsidR="00452711" w:rsidRPr="00D85C4C">
        <w:rPr>
          <w:rFonts w:ascii="TimesNewRomanPSMT" w:hAnsi="TimesNewRomanPSMT" w:cs="TimesNewRomanPSMT"/>
          <w:szCs w:val="24"/>
          <w:lang w:eastAsia="ja-JP"/>
        </w:rPr>
        <w:t xml:space="preserve"> 625-30.</w:t>
      </w:r>
    </w:p>
    <w:p w14:paraId="4FD405E8" w14:textId="30B1493C" w:rsidR="00452711" w:rsidRPr="00D85C4C" w:rsidRDefault="002E0DB9" w:rsidP="00452711">
      <w:pPr>
        <w:pStyle w:val="TFReferencesSection"/>
        <w:numPr>
          <w:ilvl w:val="0"/>
          <w:numId w:val="1"/>
        </w:numPr>
        <w:tabs>
          <w:tab w:val="left" w:pos="851"/>
        </w:tabs>
        <w:rPr>
          <w:szCs w:val="24"/>
        </w:rPr>
      </w:pPr>
      <w:r>
        <w:rPr>
          <w:rFonts w:ascii="Times New Roman" w:hAnsi="Times New Roman"/>
          <w:szCs w:val="24"/>
        </w:rPr>
        <w:lastRenderedPageBreak/>
        <w:t xml:space="preserve">T. </w:t>
      </w:r>
      <w:r w:rsidR="00452711" w:rsidRPr="00D85C4C">
        <w:rPr>
          <w:rFonts w:ascii="Times New Roman" w:hAnsi="Times New Roman"/>
          <w:szCs w:val="24"/>
        </w:rPr>
        <w:t xml:space="preserve">Yu, </w:t>
      </w:r>
      <w:r>
        <w:rPr>
          <w:rFonts w:ascii="Times New Roman" w:hAnsi="Times New Roman"/>
          <w:szCs w:val="24"/>
        </w:rPr>
        <w:t xml:space="preserve">P.E. </w:t>
      </w:r>
      <w:r w:rsidR="00452711" w:rsidRPr="00D85C4C">
        <w:rPr>
          <w:rFonts w:ascii="Times New Roman" w:hAnsi="Times New Roman"/>
          <w:szCs w:val="24"/>
        </w:rPr>
        <w:t xml:space="preserve">Witten, </w:t>
      </w:r>
      <w:r>
        <w:rPr>
          <w:rFonts w:ascii="Times New Roman" w:hAnsi="Times New Roman"/>
          <w:szCs w:val="24"/>
        </w:rPr>
        <w:t xml:space="preserve">A. </w:t>
      </w:r>
      <w:r w:rsidR="00452711" w:rsidRPr="00D85C4C">
        <w:rPr>
          <w:rFonts w:ascii="Times New Roman" w:hAnsi="Times New Roman"/>
          <w:szCs w:val="24"/>
        </w:rPr>
        <w:t xml:space="preserve">Huysseune, </w:t>
      </w:r>
      <w:r>
        <w:rPr>
          <w:rFonts w:ascii="Times New Roman" w:hAnsi="Times New Roman"/>
          <w:szCs w:val="24"/>
        </w:rPr>
        <w:t xml:space="preserve">A. </w:t>
      </w:r>
      <w:r w:rsidR="00452711" w:rsidRPr="00D85C4C">
        <w:rPr>
          <w:rFonts w:ascii="Times New Roman" w:hAnsi="Times New Roman"/>
          <w:szCs w:val="24"/>
        </w:rPr>
        <w:t xml:space="preserve">Buettner, </w:t>
      </w:r>
      <w:r>
        <w:rPr>
          <w:rFonts w:ascii="Times New Roman" w:hAnsi="Times New Roman"/>
          <w:szCs w:val="24"/>
        </w:rPr>
        <w:t xml:space="preserve">T.T. </w:t>
      </w:r>
      <w:r w:rsidR="00452711" w:rsidRPr="00D85C4C">
        <w:rPr>
          <w:rFonts w:ascii="Times New Roman" w:hAnsi="Times New Roman"/>
          <w:szCs w:val="24"/>
        </w:rPr>
        <w:t xml:space="preserve">To, </w:t>
      </w:r>
      <w:r>
        <w:rPr>
          <w:rFonts w:ascii="Times New Roman" w:hAnsi="Times New Roman"/>
          <w:szCs w:val="24"/>
        </w:rPr>
        <w:t xml:space="preserve">C. </w:t>
      </w:r>
      <w:r w:rsidR="00452711" w:rsidRPr="00D85C4C">
        <w:rPr>
          <w:rFonts w:ascii="Times New Roman" w:hAnsi="Times New Roman"/>
          <w:szCs w:val="24"/>
        </w:rPr>
        <w:t>Winkler, Live imaging of osteoclast inhibition by bisphosphonates in a medaka osteoporosis model</w:t>
      </w:r>
      <w:r>
        <w:rPr>
          <w:rFonts w:ascii="Times New Roman" w:hAnsi="Times New Roman"/>
          <w:szCs w:val="24"/>
        </w:rPr>
        <w:t>,</w:t>
      </w:r>
      <w:r w:rsidRPr="00D85C4C">
        <w:rPr>
          <w:rFonts w:ascii="Times New Roman" w:hAnsi="Times New Roman"/>
          <w:szCs w:val="24"/>
        </w:rPr>
        <w:t xml:space="preserve"> </w:t>
      </w:r>
      <w:r w:rsidR="00452711" w:rsidRPr="00CD5941">
        <w:rPr>
          <w:rFonts w:ascii="Times New Roman" w:hAnsi="Times New Roman"/>
          <w:szCs w:val="24"/>
        </w:rPr>
        <w:t xml:space="preserve">Dis. </w:t>
      </w:r>
      <w:r w:rsidR="00452711" w:rsidRPr="00143633">
        <w:rPr>
          <w:rFonts w:ascii="Times New Roman" w:hAnsi="Times New Roman"/>
          <w:szCs w:val="24"/>
          <w:lang w:val="it-IT"/>
        </w:rPr>
        <w:t>Model. Mech.</w:t>
      </w:r>
      <w:r w:rsidR="00452711" w:rsidRPr="002E0DB9">
        <w:rPr>
          <w:rFonts w:ascii="Times New Roman" w:hAnsi="Times New Roman"/>
          <w:szCs w:val="24"/>
          <w:lang w:val="it-IT"/>
        </w:rPr>
        <w:t xml:space="preserve"> </w:t>
      </w:r>
      <w:r>
        <w:rPr>
          <w:rFonts w:ascii="Times New Roman" w:hAnsi="Times New Roman"/>
          <w:szCs w:val="24"/>
          <w:lang w:val="it-IT"/>
        </w:rPr>
        <w:t>9 (2016)</w:t>
      </w:r>
      <w:r w:rsidR="00452711" w:rsidRPr="00D85C4C">
        <w:rPr>
          <w:rFonts w:ascii="Times New Roman" w:hAnsi="Times New Roman"/>
          <w:szCs w:val="24"/>
          <w:lang w:val="it-IT"/>
        </w:rPr>
        <w:t xml:space="preserve"> 155-163.</w:t>
      </w:r>
    </w:p>
    <w:p w14:paraId="36906202" w14:textId="572191B4" w:rsidR="0036311C" w:rsidRPr="00F737A1" w:rsidRDefault="00143633">
      <w:pPr>
        <w:pStyle w:val="TFReferencesSection"/>
        <w:numPr>
          <w:ilvl w:val="0"/>
          <w:numId w:val="1"/>
        </w:numPr>
        <w:tabs>
          <w:tab w:val="left" w:pos="851"/>
        </w:tabs>
        <w:rPr>
          <w:szCs w:val="24"/>
        </w:rPr>
      </w:pPr>
      <w:r>
        <w:rPr>
          <w:szCs w:val="24"/>
        </w:rPr>
        <w:t xml:space="preserve">D.E. </w:t>
      </w:r>
      <w:r w:rsidR="001C43D7" w:rsidRPr="006A6457">
        <w:rPr>
          <w:szCs w:val="24"/>
        </w:rPr>
        <w:t xml:space="preserve">Hughes, </w:t>
      </w:r>
      <w:r w:rsidR="00F737A1">
        <w:rPr>
          <w:szCs w:val="24"/>
        </w:rPr>
        <w:t xml:space="preserve">K.R. </w:t>
      </w:r>
      <w:r w:rsidR="001C43D7" w:rsidRPr="006A6457">
        <w:rPr>
          <w:szCs w:val="24"/>
        </w:rPr>
        <w:t xml:space="preserve">Wright, </w:t>
      </w:r>
      <w:r w:rsidR="00F737A1">
        <w:rPr>
          <w:szCs w:val="24"/>
        </w:rPr>
        <w:t xml:space="preserve">H.L. </w:t>
      </w:r>
      <w:r w:rsidR="001C43D7" w:rsidRPr="006A6457">
        <w:rPr>
          <w:szCs w:val="24"/>
        </w:rPr>
        <w:t>Uy,</w:t>
      </w:r>
      <w:r w:rsidR="0036311C" w:rsidRPr="009F659C">
        <w:rPr>
          <w:szCs w:val="24"/>
        </w:rPr>
        <w:t xml:space="preserve"> </w:t>
      </w:r>
      <w:r w:rsidR="00F737A1">
        <w:rPr>
          <w:szCs w:val="24"/>
        </w:rPr>
        <w:t xml:space="preserve">A. </w:t>
      </w:r>
      <w:r w:rsidR="001C43D7" w:rsidRPr="00E261B0">
        <w:rPr>
          <w:szCs w:val="24"/>
        </w:rPr>
        <w:t xml:space="preserve">Sasaki, </w:t>
      </w:r>
      <w:r w:rsidR="00F737A1">
        <w:rPr>
          <w:szCs w:val="24"/>
        </w:rPr>
        <w:t xml:space="preserve">T. </w:t>
      </w:r>
      <w:r w:rsidR="001C43D7" w:rsidRPr="00E261B0">
        <w:rPr>
          <w:szCs w:val="24"/>
        </w:rPr>
        <w:t xml:space="preserve">Yoneda, </w:t>
      </w:r>
      <w:r w:rsidR="00F737A1">
        <w:rPr>
          <w:szCs w:val="24"/>
        </w:rPr>
        <w:t xml:space="preserve">G.D. </w:t>
      </w:r>
      <w:r w:rsidR="001C43D7" w:rsidRPr="00E261B0">
        <w:rPr>
          <w:szCs w:val="24"/>
        </w:rPr>
        <w:t>Roodman,</w:t>
      </w:r>
      <w:r w:rsidR="0036311C" w:rsidRPr="00E261B0">
        <w:rPr>
          <w:szCs w:val="24"/>
        </w:rPr>
        <w:t xml:space="preserve"> </w:t>
      </w:r>
      <w:r w:rsidR="00F737A1">
        <w:rPr>
          <w:szCs w:val="24"/>
        </w:rPr>
        <w:t xml:space="preserve">G.R. </w:t>
      </w:r>
      <w:r w:rsidR="001C43D7" w:rsidRPr="00E261B0">
        <w:rPr>
          <w:szCs w:val="24"/>
        </w:rPr>
        <w:t>Mundy,</w:t>
      </w:r>
      <w:r w:rsidR="0036311C" w:rsidRPr="00E261B0">
        <w:rPr>
          <w:szCs w:val="24"/>
        </w:rPr>
        <w:t xml:space="preserve"> </w:t>
      </w:r>
      <w:r w:rsidR="00F737A1" w:rsidRPr="00E261B0">
        <w:rPr>
          <w:szCs w:val="24"/>
        </w:rPr>
        <w:t xml:space="preserve">B.F. </w:t>
      </w:r>
      <w:r w:rsidR="001C43D7" w:rsidRPr="00E261B0">
        <w:rPr>
          <w:szCs w:val="24"/>
        </w:rPr>
        <w:t xml:space="preserve">Boyce, </w:t>
      </w:r>
      <w:r w:rsidR="001C43D7" w:rsidRPr="00143633">
        <w:rPr>
          <w:bCs/>
          <w:szCs w:val="24"/>
        </w:rPr>
        <w:t>Bisphosphonates promote apoptosis in murine osteoclasts in vitro and in vivo</w:t>
      </w:r>
      <w:r w:rsidR="00F737A1">
        <w:rPr>
          <w:bCs/>
          <w:szCs w:val="24"/>
        </w:rPr>
        <w:t>,</w:t>
      </w:r>
      <w:r w:rsidR="00F737A1" w:rsidRPr="00143633">
        <w:rPr>
          <w:b/>
          <w:bCs/>
          <w:szCs w:val="24"/>
        </w:rPr>
        <w:t xml:space="preserve"> </w:t>
      </w:r>
      <w:r w:rsidR="001C43D7" w:rsidRPr="00B8114C">
        <w:rPr>
          <w:szCs w:val="24"/>
        </w:rPr>
        <w:t xml:space="preserve">J. Bone Miner. Res. </w:t>
      </w:r>
      <w:r w:rsidR="00F737A1">
        <w:rPr>
          <w:szCs w:val="24"/>
        </w:rPr>
        <w:t>10 (</w:t>
      </w:r>
      <w:r w:rsidR="001C43D7" w:rsidRPr="00B8114C">
        <w:rPr>
          <w:szCs w:val="24"/>
        </w:rPr>
        <w:t>1995</w:t>
      </w:r>
      <w:r w:rsidR="00F737A1">
        <w:rPr>
          <w:szCs w:val="24"/>
        </w:rPr>
        <w:t>)</w:t>
      </w:r>
      <w:r w:rsidR="001C43D7" w:rsidRPr="00F737A1">
        <w:rPr>
          <w:szCs w:val="24"/>
        </w:rPr>
        <w:t xml:space="preserve"> 1478–1487.</w:t>
      </w:r>
    </w:p>
    <w:p w14:paraId="30EB9CE7" w14:textId="609FA527" w:rsidR="0036311C" w:rsidRPr="001A3163" w:rsidRDefault="001A3163">
      <w:pPr>
        <w:pStyle w:val="TFReferencesSection"/>
        <w:numPr>
          <w:ilvl w:val="0"/>
          <w:numId w:val="1"/>
        </w:numPr>
        <w:tabs>
          <w:tab w:val="left" w:pos="851"/>
        </w:tabs>
        <w:rPr>
          <w:szCs w:val="24"/>
        </w:rPr>
      </w:pPr>
      <w:r>
        <w:rPr>
          <w:szCs w:val="24"/>
        </w:rPr>
        <w:t xml:space="preserve">K.S </w:t>
      </w:r>
      <w:r w:rsidR="001C43D7" w:rsidRPr="001A3163">
        <w:rPr>
          <w:szCs w:val="24"/>
        </w:rPr>
        <w:t>Selander,</w:t>
      </w:r>
      <w:r w:rsidR="0036311C" w:rsidRPr="001A3163">
        <w:rPr>
          <w:szCs w:val="24"/>
        </w:rPr>
        <w:t xml:space="preserve"> </w:t>
      </w:r>
      <w:r>
        <w:rPr>
          <w:szCs w:val="24"/>
        </w:rPr>
        <w:t xml:space="preserve">J. </w:t>
      </w:r>
      <w:r w:rsidR="001C43D7" w:rsidRPr="001A3163">
        <w:rPr>
          <w:szCs w:val="24"/>
        </w:rPr>
        <w:t xml:space="preserve">Monkkonen, </w:t>
      </w:r>
      <w:r>
        <w:rPr>
          <w:szCs w:val="24"/>
        </w:rPr>
        <w:t xml:space="preserve">E.K. </w:t>
      </w:r>
      <w:r w:rsidR="001C43D7" w:rsidRPr="001A3163">
        <w:rPr>
          <w:szCs w:val="24"/>
        </w:rPr>
        <w:t>Karhukorpi,</w:t>
      </w:r>
      <w:r w:rsidR="0036311C" w:rsidRPr="001A3163">
        <w:rPr>
          <w:szCs w:val="24"/>
        </w:rPr>
        <w:t xml:space="preserve"> </w:t>
      </w:r>
      <w:r>
        <w:rPr>
          <w:szCs w:val="24"/>
        </w:rPr>
        <w:t xml:space="preserve">P. </w:t>
      </w:r>
      <w:r w:rsidR="001C43D7" w:rsidRPr="001A3163">
        <w:rPr>
          <w:szCs w:val="24"/>
        </w:rPr>
        <w:t xml:space="preserve">Harkonen, </w:t>
      </w:r>
      <w:r>
        <w:rPr>
          <w:szCs w:val="24"/>
        </w:rPr>
        <w:t xml:space="preserve">R. </w:t>
      </w:r>
      <w:r w:rsidR="001C43D7" w:rsidRPr="001A3163">
        <w:rPr>
          <w:szCs w:val="24"/>
        </w:rPr>
        <w:t xml:space="preserve">Hannuniemi, </w:t>
      </w:r>
      <w:r>
        <w:rPr>
          <w:szCs w:val="24"/>
        </w:rPr>
        <w:t xml:space="preserve">H.K. </w:t>
      </w:r>
      <w:r w:rsidR="001C43D7" w:rsidRPr="001A3163">
        <w:rPr>
          <w:szCs w:val="24"/>
        </w:rPr>
        <w:t xml:space="preserve">Vaananen, </w:t>
      </w:r>
      <w:r w:rsidR="001C43D7" w:rsidRPr="001A3163">
        <w:rPr>
          <w:bCs/>
          <w:szCs w:val="24"/>
        </w:rPr>
        <w:t>Characteristics of clodronate-induced apoptosis in osteoclasts and macrophages</w:t>
      </w:r>
      <w:r>
        <w:rPr>
          <w:bCs/>
          <w:szCs w:val="24"/>
        </w:rPr>
        <w:t>,</w:t>
      </w:r>
      <w:r w:rsidRPr="001A3163">
        <w:rPr>
          <w:bCs/>
          <w:szCs w:val="24"/>
        </w:rPr>
        <w:t xml:space="preserve"> </w:t>
      </w:r>
      <w:r w:rsidR="001C43D7" w:rsidRPr="00190613">
        <w:rPr>
          <w:iCs/>
          <w:szCs w:val="24"/>
        </w:rPr>
        <w:t>Mol. Pharmacol</w:t>
      </w:r>
      <w:r w:rsidR="001C43D7" w:rsidRPr="001A3163">
        <w:rPr>
          <w:iCs/>
          <w:szCs w:val="24"/>
        </w:rPr>
        <w:t xml:space="preserve">. </w:t>
      </w:r>
      <w:r>
        <w:rPr>
          <w:iCs/>
          <w:szCs w:val="24"/>
        </w:rPr>
        <w:t>50 (</w:t>
      </w:r>
      <w:r w:rsidR="001C43D7" w:rsidRPr="00190613">
        <w:rPr>
          <w:iCs/>
          <w:szCs w:val="24"/>
        </w:rPr>
        <w:t>1996</w:t>
      </w:r>
      <w:r>
        <w:rPr>
          <w:iCs/>
          <w:szCs w:val="24"/>
        </w:rPr>
        <w:t>)</w:t>
      </w:r>
      <w:r w:rsidR="001C43D7" w:rsidRPr="001A3163">
        <w:rPr>
          <w:bCs/>
          <w:i/>
          <w:szCs w:val="24"/>
        </w:rPr>
        <w:t xml:space="preserve"> </w:t>
      </w:r>
      <w:r w:rsidR="001C43D7" w:rsidRPr="001A3163">
        <w:rPr>
          <w:szCs w:val="24"/>
        </w:rPr>
        <w:t>1127–1138.</w:t>
      </w:r>
    </w:p>
    <w:p w14:paraId="7416F331" w14:textId="7AC16E6B" w:rsidR="0036311C" w:rsidRPr="007E556B" w:rsidRDefault="007E556B">
      <w:pPr>
        <w:pStyle w:val="TFReferencesSection"/>
        <w:numPr>
          <w:ilvl w:val="0"/>
          <w:numId w:val="1"/>
        </w:numPr>
        <w:tabs>
          <w:tab w:val="left" w:pos="851"/>
        </w:tabs>
        <w:rPr>
          <w:szCs w:val="24"/>
        </w:rPr>
      </w:pPr>
      <w:r>
        <w:rPr>
          <w:szCs w:val="24"/>
        </w:rPr>
        <w:t xml:space="preserve">M. </w:t>
      </w:r>
      <w:r w:rsidR="001C43D7" w:rsidRPr="007E556B">
        <w:rPr>
          <w:szCs w:val="24"/>
        </w:rPr>
        <w:t xml:space="preserve">Ito, </w:t>
      </w:r>
      <w:r>
        <w:rPr>
          <w:szCs w:val="24"/>
        </w:rPr>
        <w:t xml:space="preserve">N. </w:t>
      </w:r>
      <w:r w:rsidR="001C43D7" w:rsidRPr="007E556B">
        <w:rPr>
          <w:szCs w:val="24"/>
        </w:rPr>
        <w:t xml:space="preserve">Amizuka, </w:t>
      </w:r>
      <w:r>
        <w:rPr>
          <w:szCs w:val="24"/>
        </w:rPr>
        <w:t xml:space="preserve">T. </w:t>
      </w:r>
      <w:r w:rsidR="001C43D7" w:rsidRPr="007E556B">
        <w:rPr>
          <w:szCs w:val="24"/>
        </w:rPr>
        <w:t xml:space="preserve">Nakajima, </w:t>
      </w:r>
      <w:r>
        <w:rPr>
          <w:szCs w:val="24"/>
        </w:rPr>
        <w:t xml:space="preserve">H. </w:t>
      </w:r>
      <w:r w:rsidR="001C43D7" w:rsidRPr="007E556B">
        <w:rPr>
          <w:szCs w:val="24"/>
        </w:rPr>
        <w:t>Ozawa, Ultrastructural and cytochemical studies on cell death of osteoclasts induced by bisphosphonate treatment</w:t>
      </w:r>
      <w:r>
        <w:rPr>
          <w:szCs w:val="24"/>
        </w:rPr>
        <w:t>,</w:t>
      </w:r>
      <w:r w:rsidRPr="007E556B">
        <w:rPr>
          <w:szCs w:val="24"/>
        </w:rPr>
        <w:t xml:space="preserve"> </w:t>
      </w:r>
      <w:r w:rsidR="001C43D7" w:rsidRPr="000D4B05">
        <w:rPr>
          <w:iCs/>
          <w:szCs w:val="24"/>
        </w:rPr>
        <w:t xml:space="preserve">Bone </w:t>
      </w:r>
      <w:r>
        <w:rPr>
          <w:iCs/>
          <w:szCs w:val="24"/>
        </w:rPr>
        <w:t>25 (</w:t>
      </w:r>
      <w:r w:rsidR="001C43D7" w:rsidRPr="000D4B05">
        <w:rPr>
          <w:iCs/>
          <w:szCs w:val="24"/>
        </w:rPr>
        <w:t>1999</w:t>
      </w:r>
      <w:r>
        <w:rPr>
          <w:iCs/>
          <w:szCs w:val="24"/>
        </w:rPr>
        <w:t>)</w:t>
      </w:r>
      <w:r w:rsidR="001C43D7" w:rsidRPr="007E556B">
        <w:rPr>
          <w:b/>
          <w:bCs/>
          <w:szCs w:val="24"/>
        </w:rPr>
        <w:t xml:space="preserve"> </w:t>
      </w:r>
      <w:r w:rsidR="001C43D7" w:rsidRPr="007E556B">
        <w:rPr>
          <w:szCs w:val="24"/>
        </w:rPr>
        <w:t>447–452.</w:t>
      </w:r>
    </w:p>
    <w:p w14:paraId="6E41F2CE" w14:textId="21CC2EE7" w:rsidR="0036311C" w:rsidRPr="00D85C4C" w:rsidRDefault="000D4B05">
      <w:pPr>
        <w:pStyle w:val="TFReferencesSection"/>
        <w:numPr>
          <w:ilvl w:val="0"/>
          <w:numId w:val="1"/>
        </w:numPr>
        <w:tabs>
          <w:tab w:val="left" w:pos="851"/>
        </w:tabs>
        <w:rPr>
          <w:szCs w:val="24"/>
        </w:rPr>
      </w:pPr>
      <w:r>
        <w:rPr>
          <w:rFonts w:ascii="TimesNewRomanPSMT" w:hAnsi="TimesNewRomanPSMT" w:cs="TimesNewRomanPSMT"/>
          <w:szCs w:val="24"/>
          <w:lang w:val="it-IT" w:eastAsia="ja-JP"/>
        </w:rPr>
        <w:t xml:space="preserve">G. </w:t>
      </w:r>
      <w:r w:rsidR="003B4CD4" w:rsidRPr="00D85C4C">
        <w:rPr>
          <w:rFonts w:ascii="TimesNewRomanPSMT" w:hAnsi="TimesNewRomanPSMT" w:cs="TimesNewRomanPSMT"/>
          <w:szCs w:val="24"/>
          <w:lang w:val="it-IT" w:eastAsia="ja-JP"/>
        </w:rPr>
        <w:t>Selvaggi</w:t>
      </w:r>
      <w:r w:rsidR="00ED19B8" w:rsidRPr="00D85C4C">
        <w:rPr>
          <w:rFonts w:ascii="TimesNewRomanPSMT" w:hAnsi="TimesNewRomanPSMT" w:cs="TimesNewRomanPSMT"/>
          <w:szCs w:val="24"/>
          <w:lang w:val="it-IT" w:eastAsia="ja-JP"/>
        </w:rPr>
        <w:t>,</w:t>
      </w:r>
      <w:r w:rsidR="003B4CD4" w:rsidRPr="00D85C4C">
        <w:rPr>
          <w:rFonts w:ascii="TimesNewRomanPSMT" w:hAnsi="TimesNewRomanPSMT" w:cs="TimesNewRomanPSMT"/>
          <w:szCs w:val="24"/>
          <w:lang w:val="it-IT" w:eastAsia="ja-JP"/>
        </w:rPr>
        <w:t xml:space="preserve"> </w:t>
      </w:r>
      <w:r>
        <w:rPr>
          <w:rFonts w:ascii="TimesNewRomanPSMT" w:hAnsi="TimesNewRomanPSMT" w:cs="TimesNewRomanPSMT"/>
          <w:szCs w:val="24"/>
          <w:lang w:val="it-IT" w:eastAsia="ja-JP"/>
        </w:rPr>
        <w:t xml:space="preserve">G. </w:t>
      </w:r>
      <w:r w:rsidR="003B4CD4" w:rsidRPr="00D85C4C">
        <w:rPr>
          <w:rFonts w:ascii="TimesNewRomanPSMT" w:hAnsi="TimesNewRomanPSMT" w:cs="TimesNewRomanPSMT"/>
          <w:szCs w:val="24"/>
          <w:lang w:val="it-IT" w:eastAsia="ja-JP"/>
        </w:rPr>
        <w:t>Scagliotti</w:t>
      </w:r>
      <w:r w:rsidR="00ED19B8" w:rsidRPr="00D85C4C">
        <w:rPr>
          <w:rFonts w:ascii="TimesNewRomanPSMT" w:hAnsi="TimesNewRomanPSMT" w:cs="TimesNewRomanPSMT"/>
          <w:szCs w:val="24"/>
          <w:lang w:val="it-IT" w:eastAsia="ja-JP"/>
        </w:rPr>
        <w:t>,</w:t>
      </w:r>
      <w:r w:rsidR="003B4CD4" w:rsidRPr="00D85C4C">
        <w:rPr>
          <w:rFonts w:ascii="TimesNewRomanPSMT" w:hAnsi="TimesNewRomanPSMT" w:cs="TimesNewRomanPSMT"/>
          <w:szCs w:val="24"/>
          <w:lang w:val="it-IT" w:eastAsia="ja-JP"/>
        </w:rPr>
        <w:t xml:space="preserve"> Management of bone metastases in</w:t>
      </w:r>
      <w:r w:rsidR="003B4CD4" w:rsidRPr="00D85C4C">
        <w:rPr>
          <w:rFonts w:ascii="Cheltenham-Book" w:hAnsi="Cheltenham-Book" w:cs="Cheltenham-Book"/>
          <w:szCs w:val="24"/>
          <w:lang w:val="it-IT" w:eastAsia="ja-JP"/>
        </w:rPr>
        <w:t xml:space="preserve"> </w:t>
      </w:r>
      <w:r w:rsidR="003B4CD4" w:rsidRPr="00D85C4C">
        <w:rPr>
          <w:rFonts w:ascii="TimesNewRomanPSMT" w:hAnsi="TimesNewRomanPSMT" w:cs="TimesNewRomanPSMT"/>
          <w:szCs w:val="24"/>
          <w:lang w:val="it-IT" w:eastAsia="ja-JP"/>
        </w:rPr>
        <w:t>cancer: a review</w:t>
      </w:r>
      <w:r w:rsidRPr="000D4B05">
        <w:rPr>
          <w:rFonts w:ascii="TimesNewRomanPSMT" w:hAnsi="TimesNewRomanPSMT" w:cs="TimesNewRomanPSMT"/>
          <w:szCs w:val="24"/>
          <w:lang w:val="it-IT" w:eastAsia="ja-JP"/>
        </w:rPr>
        <w:t xml:space="preserve">, </w:t>
      </w:r>
      <w:r w:rsidR="003B4CD4" w:rsidRPr="00233579">
        <w:rPr>
          <w:rFonts w:ascii="TimesNewRomanPSMT" w:hAnsi="TimesNewRomanPSMT" w:cs="TimesNewRomanPSMT"/>
          <w:szCs w:val="24"/>
          <w:lang w:val="it-IT" w:eastAsia="ja-JP"/>
        </w:rPr>
        <w:t>Clin</w:t>
      </w:r>
      <w:r w:rsidR="00ED19B8" w:rsidRPr="00233579">
        <w:rPr>
          <w:rFonts w:ascii="TimesNewRomanPSMT" w:hAnsi="TimesNewRomanPSMT" w:cs="TimesNewRomanPSMT"/>
          <w:szCs w:val="24"/>
          <w:lang w:val="it-IT" w:eastAsia="ja-JP"/>
        </w:rPr>
        <w:t>.</w:t>
      </w:r>
      <w:r w:rsidR="003B4CD4" w:rsidRPr="00233579">
        <w:rPr>
          <w:rFonts w:ascii="TimesNewRomanPSMT" w:hAnsi="TimesNewRomanPSMT" w:cs="TimesNewRomanPSMT"/>
          <w:szCs w:val="24"/>
          <w:lang w:val="it-IT" w:eastAsia="ja-JP"/>
        </w:rPr>
        <w:t xml:space="preserve"> Rev</w:t>
      </w:r>
      <w:r w:rsidR="00ED19B8" w:rsidRPr="00233579">
        <w:rPr>
          <w:rFonts w:ascii="TimesNewRomanPSMT" w:hAnsi="TimesNewRomanPSMT" w:cs="TimesNewRomanPSMT"/>
          <w:szCs w:val="24"/>
          <w:lang w:val="it-IT" w:eastAsia="ja-JP"/>
        </w:rPr>
        <w:t>.</w:t>
      </w:r>
      <w:r w:rsidR="003B4CD4" w:rsidRPr="00233579">
        <w:rPr>
          <w:rFonts w:ascii="TimesNewRomanPSMT" w:hAnsi="TimesNewRomanPSMT" w:cs="TimesNewRomanPSMT"/>
          <w:szCs w:val="24"/>
          <w:lang w:val="it-IT" w:eastAsia="ja-JP"/>
        </w:rPr>
        <w:t xml:space="preserve"> Oncol</w:t>
      </w:r>
      <w:r w:rsidR="00ED19B8" w:rsidRPr="00233579">
        <w:rPr>
          <w:rFonts w:ascii="TimesNewRomanPSMT" w:hAnsi="TimesNewRomanPSMT" w:cs="TimesNewRomanPSMT"/>
          <w:szCs w:val="24"/>
          <w:lang w:val="it-IT" w:eastAsia="ja-JP"/>
        </w:rPr>
        <w:t>,</w:t>
      </w:r>
      <w:r w:rsidR="003B4CD4" w:rsidRPr="00233579">
        <w:rPr>
          <w:rFonts w:ascii="TimesNewRomanPSMT" w:hAnsi="TimesNewRomanPSMT" w:cs="TimesNewRomanPSMT"/>
          <w:szCs w:val="24"/>
          <w:lang w:val="it-IT" w:eastAsia="ja-JP"/>
        </w:rPr>
        <w:t xml:space="preserve"> Hematol</w:t>
      </w:r>
      <w:r w:rsidR="00ED19B8" w:rsidRPr="00233579">
        <w:rPr>
          <w:rFonts w:ascii="TimesNewRomanPSMT" w:hAnsi="TimesNewRomanPSMT" w:cs="TimesNewRomanPSMT"/>
          <w:szCs w:val="24"/>
          <w:lang w:val="it-IT" w:eastAsia="ja-JP"/>
        </w:rPr>
        <w:t>.</w:t>
      </w:r>
      <w:r w:rsidR="00ED19B8" w:rsidRPr="000D4B05">
        <w:rPr>
          <w:rFonts w:ascii="TimesNewRomanPSMT" w:hAnsi="TimesNewRomanPSMT" w:cs="TimesNewRomanPSMT"/>
          <w:szCs w:val="24"/>
          <w:lang w:val="it-IT" w:eastAsia="ja-JP"/>
        </w:rPr>
        <w:t xml:space="preserve"> </w:t>
      </w:r>
      <w:r>
        <w:rPr>
          <w:rFonts w:ascii="TimesNewRomanPSMT" w:hAnsi="TimesNewRomanPSMT" w:cs="TimesNewRomanPSMT"/>
          <w:szCs w:val="24"/>
          <w:lang w:val="it-IT" w:eastAsia="ja-JP"/>
        </w:rPr>
        <w:t>56 (</w:t>
      </w:r>
      <w:r w:rsidR="00ED19B8" w:rsidRPr="00233579">
        <w:rPr>
          <w:rFonts w:ascii="TimesNewRomanPSMT" w:hAnsi="TimesNewRomanPSMT" w:cs="TimesNewRomanPSMT"/>
          <w:szCs w:val="24"/>
          <w:lang w:val="it-IT" w:eastAsia="ja-JP"/>
        </w:rPr>
        <w:t>2005</w:t>
      </w:r>
      <w:r>
        <w:rPr>
          <w:rFonts w:ascii="TimesNewRomanPSMT" w:hAnsi="TimesNewRomanPSMT" w:cs="TimesNewRomanPSMT"/>
          <w:szCs w:val="24"/>
          <w:lang w:val="it-IT" w:eastAsia="ja-JP"/>
        </w:rPr>
        <w:t>)</w:t>
      </w:r>
      <w:r w:rsidR="00ED19B8" w:rsidRPr="00D85C4C">
        <w:rPr>
          <w:rFonts w:ascii="TimesNewRomanPSMT" w:hAnsi="TimesNewRomanPSMT" w:cs="TimesNewRomanPSMT"/>
          <w:szCs w:val="24"/>
          <w:lang w:val="it-IT" w:eastAsia="ja-JP"/>
        </w:rPr>
        <w:t xml:space="preserve"> </w:t>
      </w:r>
      <w:r w:rsidR="003B4CD4" w:rsidRPr="00D85C4C">
        <w:rPr>
          <w:rFonts w:ascii="TimesNewRomanPSMT" w:hAnsi="TimesNewRomanPSMT" w:cs="TimesNewRomanPSMT"/>
          <w:szCs w:val="24"/>
          <w:lang w:val="it-IT" w:eastAsia="ja-JP"/>
        </w:rPr>
        <w:t>365-78.</w:t>
      </w:r>
    </w:p>
    <w:p w14:paraId="50C9E9F5" w14:textId="259004F4" w:rsidR="00FD7125" w:rsidRPr="00D85C4C" w:rsidRDefault="00233579">
      <w:pPr>
        <w:pStyle w:val="TFReferencesSection"/>
        <w:numPr>
          <w:ilvl w:val="0"/>
          <w:numId w:val="1"/>
        </w:numPr>
        <w:tabs>
          <w:tab w:val="left" w:pos="851"/>
        </w:tabs>
        <w:rPr>
          <w:szCs w:val="24"/>
        </w:rPr>
      </w:pPr>
      <w:r>
        <w:rPr>
          <w:rFonts w:ascii="TimesNewRomanPSMT" w:hAnsi="TimesNewRomanPSMT" w:cs="TimesNewRomanPSMT"/>
          <w:szCs w:val="24"/>
          <w:lang w:eastAsia="ja-JP"/>
        </w:rPr>
        <w:t xml:space="preserve">M.J. </w:t>
      </w:r>
      <w:r w:rsidR="003B4CD4" w:rsidRPr="00D85C4C">
        <w:rPr>
          <w:rFonts w:ascii="TimesNewRomanPSMT" w:hAnsi="TimesNewRomanPSMT" w:cs="TimesNewRomanPSMT"/>
          <w:szCs w:val="24"/>
          <w:lang w:eastAsia="ja-JP"/>
        </w:rPr>
        <w:t>Rogers</w:t>
      </w:r>
      <w:r w:rsidR="0036311C" w:rsidRPr="00D85C4C">
        <w:rPr>
          <w:rFonts w:ascii="TimesNewRomanPSMT" w:hAnsi="TimesNewRomanPSMT" w:cs="TimesNewRomanPSMT"/>
          <w:szCs w:val="24"/>
          <w:lang w:eastAsia="ja-JP"/>
        </w:rPr>
        <w:t>,</w:t>
      </w:r>
      <w:r w:rsidR="003B4CD4" w:rsidRPr="00D85C4C">
        <w:rPr>
          <w:rFonts w:ascii="TimesNewRomanPSMT" w:hAnsi="TimesNewRomanPSMT" w:cs="TimesNewRomanPSMT"/>
          <w:szCs w:val="24"/>
          <w:lang w:eastAsia="ja-JP"/>
        </w:rPr>
        <w:t xml:space="preserve"> </w:t>
      </w:r>
      <w:r>
        <w:rPr>
          <w:rFonts w:ascii="TimesNewRomanPSMT" w:hAnsi="TimesNewRomanPSMT" w:cs="TimesNewRomanPSMT"/>
          <w:szCs w:val="24"/>
          <w:lang w:eastAsia="ja-JP"/>
        </w:rPr>
        <w:t xml:space="preserve">R.G.G. </w:t>
      </w:r>
      <w:r w:rsidR="003B4CD4" w:rsidRPr="00D85C4C">
        <w:rPr>
          <w:rFonts w:ascii="TimesNewRomanPSMT" w:hAnsi="TimesNewRomanPSMT" w:cs="TimesNewRomanPSMT"/>
          <w:szCs w:val="24"/>
          <w:lang w:eastAsia="ja-JP"/>
        </w:rPr>
        <w:t>Russel</w:t>
      </w:r>
      <w:r w:rsidR="0036311C" w:rsidRPr="00D85C4C">
        <w:rPr>
          <w:rFonts w:ascii="TimesNewRomanPSMT" w:hAnsi="TimesNewRomanPSMT" w:cs="TimesNewRomanPSMT"/>
          <w:szCs w:val="24"/>
          <w:lang w:eastAsia="ja-JP"/>
        </w:rPr>
        <w:t>,</w:t>
      </w:r>
      <w:r w:rsidR="003B4CD4" w:rsidRPr="00D85C4C">
        <w:rPr>
          <w:rFonts w:ascii="TimesNewRomanPSMT" w:hAnsi="TimesNewRomanPSMT" w:cs="TimesNewRomanPSMT"/>
          <w:szCs w:val="24"/>
          <w:lang w:eastAsia="ja-JP"/>
        </w:rPr>
        <w:t xml:space="preserve"> Overview of bisphosphonates</w:t>
      </w:r>
      <w:r>
        <w:rPr>
          <w:rFonts w:ascii="TimesNewRomanPSMT" w:hAnsi="TimesNewRomanPSMT" w:cs="TimesNewRomanPSMT"/>
          <w:szCs w:val="24"/>
          <w:lang w:eastAsia="ja-JP"/>
        </w:rPr>
        <w:t>,</w:t>
      </w:r>
      <w:r w:rsidRPr="00D85C4C">
        <w:rPr>
          <w:rFonts w:ascii="TimesNewRomanPSMT" w:hAnsi="TimesNewRomanPSMT" w:cs="TimesNewRomanPSMT"/>
          <w:szCs w:val="24"/>
          <w:lang w:eastAsia="ja-JP"/>
        </w:rPr>
        <w:t xml:space="preserve"> </w:t>
      </w:r>
      <w:r w:rsidR="003B4CD4" w:rsidRPr="00CD5941">
        <w:rPr>
          <w:rFonts w:ascii="TimesNewRomanPSMT" w:hAnsi="TimesNewRomanPSMT" w:cs="TimesNewRomanPSMT"/>
          <w:szCs w:val="24"/>
          <w:lang w:eastAsia="ja-JP"/>
        </w:rPr>
        <w:t xml:space="preserve">Cancer </w:t>
      </w:r>
      <w:r w:rsidRPr="00CD5941">
        <w:rPr>
          <w:rFonts w:ascii="TimesNewRomanPSMT" w:hAnsi="TimesNewRomanPSMT" w:cs="TimesNewRomanPSMT"/>
          <w:szCs w:val="24"/>
          <w:lang w:eastAsia="ja-JP"/>
        </w:rPr>
        <w:t>80 (</w:t>
      </w:r>
      <w:r w:rsidR="003B4CD4" w:rsidRPr="00CD5941">
        <w:rPr>
          <w:rFonts w:ascii="TimesNewRomanPSMT" w:hAnsi="TimesNewRomanPSMT" w:cs="TimesNewRomanPSMT"/>
          <w:szCs w:val="24"/>
          <w:lang w:eastAsia="ja-JP"/>
        </w:rPr>
        <w:t>1997</w:t>
      </w:r>
      <w:r w:rsidRPr="00CD5941">
        <w:rPr>
          <w:rFonts w:ascii="TimesNewRomanPSMT" w:hAnsi="TimesNewRomanPSMT" w:cs="TimesNewRomanPSMT"/>
          <w:szCs w:val="24"/>
          <w:lang w:eastAsia="ja-JP"/>
        </w:rPr>
        <w:t>)</w:t>
      </w:r>
      <w:r w:rsidR="00ED19B8" w:rsidRPr="00CD5941">
        <w:rPr>
          <w:rFonts w:ascii="TimesNewRomanPSMT" w:hAnsi="TimesNewRomanPSMT" w:cs="TimesNewRomanPSMT"/>
          <w:szCs w:val="24"/>
          <w:lang w:eastAsia="ja-JP"/>
        </w:rPr>
        <w:t xml:space="preserve"> </w:t>
      </w:r>
      <w:r w:rsidR="003B4CD4" w:rsidRPr="00CD5941">
        <w:rPr>
          <w:rFonts w:ascii="TimesNewRomanPSMT" w:hAnsi="TimesNewRomanPSMT" w:cs="TimesNewRomanPSMT"/>
          <w:szCs w:val="24"/>
          <w:lang w:eastAsia="ja-JP"/>
        </w:rPr>
        <w:t>1652-60.</w:t>
      </w:r>
    </w:p>
    <w:p w14:paraId="01C0C0C6" w14:textId="31109EA6" w:rsidR="0036311C" w:rsidRPr="007E556B" w:rsidRDefault="002D02B9">
      <w:pPr>
        <w:pStyle w:val="TFReferencesSection"/>
        <w:numPr>
          <w:ilvl w:val="0"/>
          <w:numId w:val="1"/>
        </w:numPr>
        <w:tabs>
          <w:tab w:val="left" w:pos="851"/>
        </w:tabs>
        <w:rPr>
          <w:szCs w:val="24"/>
        </w:rPr>
      </w:pPr>
      <w:r>
        <w:rPr>
          <w:szCs w:val="24"/>
        </w:rPr>
        <w:t xml:space="preserve">H. </w:t>
      </w:r>
      <w:r w:rsidR="0036311C" w:rsidRPr="006A6457">
        <w:rPr>
          <w:szCs w:val="24"/>
        </w:rPr>
        <w:t xml:space="preserve">Fleisch, </w:t>
      </w:r>
      <w:r w:rsidR="0036311C" w:rsidRPr="00733238">
        <w:rPr>
          <w:bCs/>
          <w:szCs w:val="24"/>
        </w:rPr>
        <w:t>Bisphosphonates: mechanisms of action</w:t>
      </w:r>
      <w:r>
        <w:rPr>
          <w:bCs/>
          <w:szCs w:val="24"/>
        </w:rPr>
        <w:t>,</w:t>
      </w:r>
      <w:r w:rsidRPr="00143633">
        <w:rPr>
          <w:b/>
          <w:bCs/>
          <w:szCs w:val="24"/>
        </w:rPr>
        <w:t xml:space="preserve"> </w:t>
      </w:r>
      <w:r w:rsidR="0036311C" w:rsidRPr="007C1237">
        <w:rPr>
          <w:szCs w:val="24"/>
        </w:rPr>
        <w:t>Endocr Rev</w:t>
      </w:r>
      <w:r w:rsidR="0036311C" w:rsidRPr="002D02B9">
        <w:rPr>
          <w:szCs w:val="24"/>
        </w:rPr>
        <w:t xml:space="preserve">. </w:t>
      </w:r>
      <w:r>
        <w:rPr>
          <w:szCs w:val="24"/>
        </w:rPr>
        <w:t>19 (</w:t>
      </w:r>
      <w:r w:rsidR="0036311C" w:rsidRPr="007C1237">
        <w:rPr>
          <w:szCs w:val="24"/>
        </w:rPr>
        <w:t>1998</w:t>
      </w:r>
      <w:r>
        <w:rPr>
          <w:szCs w:val="24"/>
        </w:rPr>
        <w:t>)</w:t>
      </w:r>
      <w:r w:rsidR="0036311C" w:rsidRPr="007E556B">
        <w:rPr>
          <w:szCs w:val="24"/>
        </w:rPr>
        <w:t xml:space="preserve"> 80–100.</w:t>
      </w:r>
    </w:p>
    <w:p w14:paraId="1C5F83BF" w14:textId="4AAB40D4" w:rsidR="0036311C" w:rsidRPr="00A11B32" w:rsidRDefault="00A11B32">
      <w:pPr>
        <w:pStyle w:val="TFReferencesSection"/>
        <w:numPr>
          <w:ilvl w:val="0"/>
          <w:numId w:val="1"/>
        </w:numPr>
        <w:tabs>
          <w:tab w:val="left" w:pos="851"/>
        </w:tabs>
        <w:rPr>
          <w:szCs w:val="24"/>
        </w:rPr>
      </w:pPr>
      <w:r>
        <w:rPr>
          <w:szCs w:val="24"/>
        </w:rPr>
        <w:t xml:space="preserve">G.A. </w:t>
      </w:r>
      <w:r w:rsidR="0036311C" w:rsidRPr="00A11B32">
        <w:rPr>
          <w:szCs w:val="24"/>
        </w:rPr>
        <w:t xml:space="preserve">Rodan, </w:t>
      </w:r>
      <w:r w:rsidR="0036311C" w:rsidRPr="00A11B32">
        <w:rPr>
          <w:bCs/>
          <w:szCs w:val="24"/>
        </w:rPr>
        <w:t>Mechanisms of action of bisphosphonates</w:t>
      </w:r>
      <w:r>
        <w:rPr>
          <w:bCs/>
          <w:szCs w:val="24"/>
        </w:rPr>
        <w:t>,</w:t>
      </w:r>
      <w:r w:rsidRPr="00A11B32">
        <w:rPr>
          <w:b/>
          <w:bCs/>
          <w:szCs w:val="24"/>
        </w:rPr>
        <w:t xml:space="preserve"> </w:t>
      </w:r>
      <w:r w:rsidR="0036311C" w:rsidRPr="00EB57F7">
        <w:rPr>
          <w:szCs w:val="24"/>
        </w:rPr>
        <w:t>Ann. Rev. Pharmacol. Toxicol</w:t>
      </w:r>
      <w:r w:rsidR="0036311C" w:rsidRPr="00A11B32">
        <w:rPr>
          <w:szCs w:val="24"/>
        </w:rPr>
        <w:t xml:space="preserve">. </w:t>
      </w:r>
      <w:r>
        <w:rPr>
          <w:szCs w:val="24"/>
        </w:rPr>
        <w:t>38 (</w:t>
      </w:r>
      <w:r w:rsidR="0036311C" w:rsidRPr="00EB57F7">
        <w:rPr>
          <w:szCs w:val="24"/>
        </w:rPr>
        <w:t>1998</w:t>
      </w:r>
      <w:r>
        <w:rPr>
          <w:szCs w:val="24"/>
        </w:rPr>
        <w:t>)</w:t>
      </w:r>
      <w:r>
        <w:rPr>
          <w:i/>
          <w:szCs w:val="24"/>
        </w:rPr>
        <w:t xml:space="preserve"> </w:t>
      </w:r>
      <w:r w:rsidR="0036311C" w:rsidRPr="00A11B32">
        <w:rPr>
          <w:szCs w:val="24"/>
        </w:rPr>
        <w:t>375–388.</w:t>
      </w:r>
    </w:p>
    <w:p w14:paraId="24A22997" w14:textId="14219922" w:rsidR="0036311C" w:rsidRPr="00EC7E26" w:rsidRDefault="00EC7E26">
      <w:pPr>
        <w:pStyle w:val="TFReferencesSection"/>
        <w:numPr>
          <w:ilvl w:val="0"/>
          <w:numId w:val="1"/>
        </w:numPr>
        <w:tabs>
          <w:tab w:val="left" w:pos="851"/>
        </w:tabs>
        <w:rPr>
          <w:szCs w:val="24"/>
        </w:rPr>
      </w:pPr>
      <w:r>
        <w:rPr>
          <w:szCs w:val="24"/>
        </w:rPr>
        <w:t xml:space="preserve">M.J. </w:t>
      </w:r>
      <w:r w:rsidR="0036311C" w:rsidRPr="00EC7E26">
        <w:rPr>
          <w:szCs w:val="24"/>
        </w:rPr>
        <w:t xml:space="preserve">Rogers, </w:t>
      </w:r>
      <w:r>
        <w:rPr>
          <w:szCs w:val="24"/>
        </w:rPr>
        <w:t xml:space="preserve">S. </w:t>
      </w:r>
      <w:r w:rsidR="0036311C" w:rsidRPr="00EC7E26">
        <w:rPr>
          <w:szCs w:val="24"/>
        </w:rPr>
        <w:t xml:space="preserve">Gordon, </w:t>
      </w:r>
      <w:r>
        <w:rPr>
          <w:szCs w:val="24"/>
        </w:rPr>
        <w:t xml:space="preserve">H.L. </w:t>
      </w:r>
      <w:r w:rsidR="0036311C" w:rsidRPr="00EC7E26">
        <w:rPr>
          <w:szCs w:val="24"/>
        </w:rPr>
        <w:t xml:space="preserve">Benford, </w:t>
      </w:r>
      <w:r>
        <w:rPr>
          <w:szCs w:val="24"/>
        </w:rPr>
        <w:t xml:space="preserve">F.P. </w:t>
      </w:r>
      <w:r w:rsidR="0036311C" w:rsidRPr="00EC7E26">
        <w:rPr>
          <w:szCs w:val="24"/>
        </w:rPr>
        <w:t xml:space="preserve">Coxon, </w:t>
      </w:r>
      <w:r>
        <w:rPr>
          <w:szCs w:val="24"/>
        </w:rPr>
        <w:t xml:space="preserve">S.P. </w:t>
      </w:r>
      <w:r w:rsidR="0036311C" w:rsidRPr="00EC7E26">
        <w:rPr>
          <w:szCs w:val="24"/>
        </w:rPr>
        <w:t xml:space="preserve">Luckman, </w:t>
      </w:r>
      <w:r>
        <w:rPr>
          <w:szCs w:val="24"/>
        </w:rPr>
        <w:t xml:space="preserve">J. </w:t>
      </w:r>
      <w:r w:rsidR="0036311C" w:rsidRPr="00EC7E26">
        <w:rPr>
          <w:szCs w:val="24"/>
        </w:rPr>
        <w:t xml:space="preserve">Monkkonen, </w:t>
      </w:r>
      <w:r>
        <w:rPr>
          <w:szCs w:val="24"/>
        </w:rPr>
        <w:t xml:space="preserve">J.C. </w:t>
      </w:r>
      <w:r w:rsidR="0036311C" w:rsidRPr="00EC7E26">
        <w:rPr>
          <w:szCs w:val="24"/>
        </w:rPr>
        <w:t>Frith, Cellular and molecular mechanisms of action of bisphosphonates</w:t>
      </w:r>
      <w:r>
        <w:rPr>
          <w:szCs w:val="24"/>
        </w:rPr>
        <w:t>,</w:t>
      </w:r>
      <w:r w:rsidRPr="00EC7E26">
        <w:rPr>
          <w:szCs w:val="24"/>
        </w:rPr>
        <w:t xml:space="preserve"> </w:t>
      </w:r>
      <w:r w:rsidR="0036311C" w:rsidRPr="001145DA">
        <w:rPr>
          <w:szCs w:val="24"/>
        </w:rPr>
        <w:t>Cancer.</w:t>
      </w:r>
      <w:r w:rsidR="0036311C" w:rsidRPr="00EC7E26">
        <w:rPr>
          <w:szCs w:val="24"/>
        </w:rPr>
        <w:t xml:space="preserve"> </w:t>
      </w:r>
      <w:r w:rsidR="001145DA">
        <w:rPr>
          <w:szCs w:val="24"/>
        </w:rPr>
        <w:t>88 (</w:t>
      </w:r>
      <w:r w:rsidR="0036311C" w:rsidRPr="001145DA">
        <w:rPr>
          <w:szCs w:val="24"/>
        </w:rPr>
        <w:t>2000</w:t>
      </w:r>
      <w:r w:rsidR="001145DA">
        <w:rPr>
          <w:szCs w:val="24"/>
        </w:rPr>
        <w:t>)</w:t>
      </w:r>
      <w:r w:rsidR="0036311C" w:rsidRPr="00EC7E26">
        <w:rPr>
          <w:szCs w:val="24"/>
        </w:rPr>
        <w:t xml:space="preserve"> 2961-2978.</w:t>
      </w:r>
    </w:p>
    <w:p w14:paraId="1AEAE042" w14:textId="4DC12D84" w:rsidR="006B4DC6" w:rsidRPr="006B7746" w:rsidRDefault="001145DA">
      <w:pPr>
        <w:pStyle w:val="TFReferencesSection"/>
        <w:numPr>
          <w:ilvl w:val="0"/>
          <w:numId w:val="1"/>
        </w:numPr>
        <w:tabs>
          <w:tab w:val="left" w:pos="851"/>
        </w:tabs>
        <w:rPr>
          <w:szCs w:val="24"/>
        </w:rPr>
      </w:pPr>
      <w:r>
        <w:rPr>
          <w:szCs w:val="24"/>
        </w:rPr>
        <w:t xml:space="preserve">J.C. </w:t>
      </w:r>
      <w:r w:rsidR="0036311C" w:rsidRPr="001145DA">
        <w:rPr>
          <w:szCs w:val="24"/>
        </w:rPr>
        <w:t>Frith,</w:t>
      </w:r>
      <w:r w:rsidR="00AE121C" w:rsidRPr="001145DA">
        <w:rPr>
          <w:szCs w:val="24"/>
        </w:rPr>
        <w:t xml:space="preserve"> </w:t>
      </w:r>
      <w:r>
        <w:rPr>
          <w:szCs w:val="24"/>
        </w:rPr>
        <w:t xml:space="preserve">J. </w:t>
      </w:r>
      <w:r w:rsidR="0036311C" w:rsidRPr="001145DA">
        <w:rPr>
          <w:szCs w:val="24"/>
        </w:rPr>
        <w:t xml:space="preserve">Monkkonen, </w:t>
      </w:r>
      <w:r>
        <w:rPr>
          <w:szCs w:val="24"/>
        </w:rPr>
        <w:t xml:space="preserve">G.M. </w:t>
      </w:r>
      <w:r w:rsidR="0036311C" w:rsidRPr="001145DA">
        <w:rPr>
          <w:szCs w:val="24"/>
        </w:rPr>
        <w:t>Black</w:t>
      </w:r>
      <w:r w:rsidR="00AE121C" w:rsidRPr="001145DA">
        <w:rPr>
          <w:szCs w:val="24"/>
        </w:rPr>
        <w:t xml:space="preserve">burn, </w:t>
      </w:r>
      <w:r>
        <w:rPr>
          <w:szCs w:val="24"/>
        </w:rPr>
        <w:t xml:space="preserve">R.G. </w:t>
      </w:r>
      <w:r w:rsidR="0036311C" w:rsidRPr="001145DA">
        <w:rPr>
          <w:szCs w:val="24"/>
        </w:rPr>
        <w:t>Russell,</w:t>
      </w:r>
      <w:r w:rsidR="00AE121C" w:rsidRPr="001145DA">
        <w:rPr>
          <w:szCs w:val="24"/>
        </w:rPr>
        <w:t xml:space="preserve"> </w:t>
      </w:r>
      <w:r>
        <w:rPr>
          <w:szCs w:val="24"/>
        </w:rPr>
        <w:t xml:space="preserve">M.J. </w:t>
      </w:r>
      <w:r w:rsidR="00AE121C" w:rsidRPr="001145DA">
        <w:rPr>
          <w:szCs w:val="24"/>
        </w:rPr>
        <w:t xml:space="preserve">Rogers, </w:t>
      </w:r>
      <w:r w:rsidR="0036311C" w:rsidRPr="001145DA">
        <w:rPr>
          <w:szCs w:val="24"/>
        </w:rPr>
        <w:t xml:space="preserve">Clodronate and liposome-encapsulated clodronate are metabolized to a toxic ATP analog, adenosine 5'-(beta, </w:t>
      </w:r>
      <w:r w:rsidR="0036311C" w:rsidRPr="001145DA">
        <w:rPr>
          <w:szCs w:val="24"/>
        </w:rPr>
        <w:lastRenderedPageBreak/>
        <w:t>gamma-dichloromethylene) triphosphate, by mammalian cells in vitro</w:t>
      </w:r>
      <w:r w:rsidR="006B7746">
        <w:rPr>
          <w:szCs w:val="24"/>
        </w:rPr>
        <w:t>,</w:t>
      </w:r>
      <w:r w:rsidR="006B7746" w:rsidRPr="001145DA">
        <w:rPr>
          <w:szCs w:val="24"/>
        </w:rPr>
        <w:t xml:space="preserve"> </w:t>
      </w:r>
      <w:r w:rsidR="0036311C" w:rsidRPr="006B7746">
        <w:rPr>
          <w:szCs w:val="24"/>
        </w:rPr>
        <w:t xml:space="preserve">J. Bone Miner. Res. </w:t>
      </w:r>
      <w:r w:rsidR="006B7746">
        <w:rPr>
          <w:szCs w:val="24"/>
        </w:rPr>
        <w:t>12 (</w:t>
      </w:r>
      <w:r w:rsidR="0036311C" w:rsidRPr="006B7746">
        <w:rPr>
          <w:szCs w:val="24"/>
        </w:rPr>
        <w:t>1997</w:t>
      </w:r>
      <w:r w:rsidR="006B7746">
        <w:rPr>
          <w:szCs w:val="24"/>
        </w:rPr>
        <w:t>)</w:t>
      </w:r>
      <w:r w:rsidR="0036311C" w:rsidRPr="006B7746">
        <w:rPr>
          <w:szCs w:val="24"/>
        </w:rPr>
        <w:t xml:space="preserve"> 1358–1367.</w:t>
      </w:r>
    </w:p>
    <w:p w14:paraId="5642F9B3" w14:textId="2CB3EB04" w:rsidR="006B4DC6" w:rsidRPr="006B7746" w:rsidRDefault="006B7746">
      <w:pPr>
        <w:pStyle w:val="TFReferencesSection"/>
        <w:numPr>
          <w:ilvl w:val="0"/>
          <w:numId w:val="1"/>
        </w:numPr>
        <w:tabs>
          <w:tab w:val="left" w:pos="851"/>
        </w:tabs>
        <w:rPr>
          <w:szCs w:val="24"/>
        </w:rPr>
      </w:pPr>
      <w:r>
        <w:rPr>
          <w:szCs w:val="24"/>
        </w:rPr>
        <w:t xml:space="preserve">S. </w:t>
      </w:r>
      <w:r w:rsidR="00A504B2" w:rsidRPr="006B7746">
        <w:rPr>
          <w:szCs w:val="24"/>
        </w:rPr>
        <w:t xml:space="preserve">Pelorgeas, </w:t>
      </w:r>
      <w:r>
        <w:rPr>
          <w:szCs w:val="24"/>
        </w:rPr>
        <w:t xml:space="preserve">J.B. </w:t>
      </w:r>
      <w:r w:rsidR="00A504B2" w:rsidRPr="006B7746">
        <w:rPr>
          <w:szCs w:val="24"/>
        </w:rPr>
        <w:t xml:space="preserve">Martin, </w:t>
      </w:r>
      <w:r>
        <w:rPr>
          <w:szCs w:val="24"/>
        </w:rPr>
        <w:t xml:space="preserve">M. </w:t>
      </w:r>
      <w:r w:rsidR="00A504B2" w:rsidRPr="006B7746">
        <w:rPr>
          <w:szCs w:val="24"/>
        </w:rPr>
        <w:t>Satre, Cytotoxicity of dichloromethane diphosphonate and of 1-hydroxyethane-1,1-diphosphonate in the amoebae of the slime mould Dictyostelium discoideum</w:t>
      </w:r>
      <w:r>
        <w:rPr>
          <w:szCs w:val="24"/>
        </w:rPr>
        <w:t>,</w:t>
      </w:r>
      <w:r w:rsidRPr="006B7746">
        <w:rPr>
          <w:szCs w:val="24"/>
        </w:rPr>
        <w:t xml:space="preserve"> </w:t>
      </w:r>
      <w:r w:rsidR="00A504B2" w:rsidRPr="006B7746">
        <w:rPr>
          <w:szCs w:val="24"/>
        </w:rPr>
        <w:t xml:space="preserve">A </w:t>
      </w:r>
      <w:r w:rsidR="00A504B2" w:rsidRPr="006B7746">
        <w:rPr>
          <w:szCs w:val="24"/>
          <w:vertAlign w:val="superscript"/>
        </w:rPr>
        <w:t>31</w:t>
      </w:r>
      <w:r w:rsidR="00A504B2" w:rsidRPr="006B7746">
        <w:rPr>
          <w:szCs w:val="24"/>
        </w:rPr>
        <w:t>P NMR study</w:t>
      </w:r>
      <w:r>
        <w:rPr>
          <w:szCs w:val="24"/>
        </w:rPr>
        <w:t>,</w:t>
      </w:r>
      <w:r w:rsidRPr="006B7746">
        <w:rPr>
          <w:szCs w:val="24"/>
        </w:rPr>
        <w:t xml:space="preserve"> </w:t>
      </w:r>
      <w:r w:rsidR="00A504B2" w:rsidRPr="006B7746">
        <w:rPr>
          <w:szCs w:val="24"/>
        </w:rPr>
        <w:t xml:space="preserve">Biochem. Pharmacol. </w:t>
      </w:r>
      <w:r>
        <w:rPr>
          <w:szCs w:val="24"/>
        </w:rPr>
        <w:t>44 (</w:t>
      </w:r>
      <w:r w:rsidR="00A504B2" w:rsidRPr="006B7746">
        <w:rPr>
          <w:szCs w:val="24"/>
        </w:rPr>
        <w:t>1992</w:t>
      </w:r>
      <w:r>
        <w:rPr>
          <w:szCs w:val="24"/>
        </w:rPr>
        <w:t>)</w:t>
      </w:r>
      <w:r w:rsidR="00A504B2" w:rsidRPr="006B7746">
        <w:rPr>
          <w:szCs w:val="24"/>
        </w:rPr>
        <w:t xml:space="preserve"> 2157–2163.</w:t>
      </w:r>
    </w:p>
    <w:p w14:paraId="4ABE5B6F" w14:textId="547352D6" w:rsidR="006B4DC6" w:rsidRPr="004B219E" w:rsidRDefault="004B219E">
      <w:pPr>
        <w:pStyle w:val="TFReferencesSection"/>
        <w:numPr>
          <w:ilvl w:val="0"/>
          <w:numId w:val="1"/>
        </w:numPr>
        <w:tabs>
          <w:tab w:val="left" w:pos="851"/>
        </w:tabs>
        <w:rPr>
          <w:szCs w:val="24"/>
        </w:rPr>
      </w:pPr>
      <w:r>
        <w:rPr>
          <w:szCs w:val="24"/>
        </w:rPr>
        <w:t xml:space="preserve">E.R. </w:t>
      </w:r>
      <w:r w:rsidR="006B4DC6" w:rsidRPr="004B219E">
        <w:rPr>
          <w:szCs w:val="24"/>
        </w:rPr>
        <w:t xml:space="preserve">van Beek, </w:t>
      </w:r>
      <w:r>
        <w:rPr>
          <w:szCs w:val="24"/>
        </w:rPr>
        <w:t xml:space="preserve">E. </w:t>
      </w:r>
      <w:r w:rsidR="006B4DC6" w:rsidRPr="004B219E">
        <w:rPr>
          <w:szCs w:val="24"/>
        </w:rPr>
        <w:t xml:space="preserve">Pieterman, </w:t>
      </w:r>
      <w:r>
        <w:rPr>
          <w:szCs w:val="24"/>
        </w:rPr>
        <w:t xml:space="preserve">L. </w:t>
      </w:r>
      <w:r w:rsidR="006B4DC6" w:rsidRPr="004B219E">
        <w:rPr>
          <w:szCs w:val="24"/>
        </w:rPr>
        <w:t xml:space="preserve">Cohen, </w:t>
      </w:r>
      <w:r>
        <w:rPr>
          <w:szCs w:val="24"/>
        </w:rPr>
        <w:t xml:space="preserve">C. </w:t>
      </w:r>
      <w:r w:rsidR="006B4DC6" w:rsidRPr="004B219E">
        <w:rPr>
          <w:szCs w:val="24"/>
        </w:rPr>
        <w:t xml:space="preserve">Lowik, </w:t>
      </w:r>
      <w:r>
        <w:rPr>
          <w:szCs w:val="24"/>
        </w:rPr>
        <w:t xml:space="preserve">S. </w:t>
      </w:r>
      <w:r w:rsidR="006B4DC6" w:rsidRPr="004B219E">
        <w:rPr>
          <w:szCs w:val="24"/>
        </w:rPr>
        <w:t>Papapoulos, Farnesyl pyrophosphate synthase is the molecular target of nitrogen-containing bisphosphonates</w:t>
      </w:r>
      <w:r>
        <w:rPr>
          <w:szCs w:val="24"/>
        </w:rPr>
        <w:t>,</w:t>
      </w:r>
      <w:r w:rsidR="006B4DC6" w:rsidRPr="004B219E">
        <w:rPr>
          <w:szCs w:val="24"/>
        </w:rPr>
        <w:t xml:space="preserve"> Biochem. Bioph. Res. Comm. </w:t>
      </w:r>
      <w:r>
        <w:rPr>
          <w:szCs w:val="24"/>
        </w:rPr>
        <w:t>264 (</w:t>
      </w:r>
      <w:r w:rsidR="006B4DC6" w:rsidRPr="004B219E">
        <w:rPr>
          <w:szCs w:val="24"/>
        </w:rPr>
        <w:t>1999</w:t>
      </w:r>
      <w:r>
        <w:rPr>
          <w:szCs w:val="24"/>
        </w:rPr>
        <w:t>)</w:t>
      </w:r>
      <w:r w:rsidR="006B4DC6" w:rsidRPr="004B219E">
        <w:rPr>
          <w:szCs w:val="24"/>
        </w:rPr>
        <w:t xml:space="preserve"> 108–111.</w:t>
      </w:r>
    </w:p>
    <w:p w14:paraId="7BE025C7" w14:textId="2C218823" w:rsidR="006B4DC6" w:rsidRPr="00854FCE" w:rsidRDefault="00854FCE">
      <w:pPr>
        <w:pStyle w:val="TFReferencesSection"/>
        <w:numPr>
          <w:ilvl w:val="0"/>
          <w:numId w:val="1"/>
        </w:numPr>
        <w:tabs>
          <w:tab w:val="left" w:pos="851"/>
        </w:tabs>
        <w:rPr>
          <w:szCs w:val="24"/>
        </w:rPr>
      </w:pPr>
      <w:r>
        <w:rPr>
          <w:szCs w:val="24"/>
        </w:rPr>
        <w:t xml:space="preserve">J.D. </w:t>
      </w:r>
      <w:r w:rsidR="006B4DC6" w:rsidRPr="00854FCE">
        <w:rPr>
          <w:szCs w:val="24"/>
        </w:rPr>
        <w:t xml:space="preserve">Bergstrom, </w:t>
      </w:r>
      <w:r>
        <w:rPr>
          <w:szCs w:val="24"/>
        </w:rPr>
        <w:t xml:space="preserve">R.G. </w:t>
      </w:r>
      <w:r w:rsidR="006B4DC6" w:rsidRPr="00854FCE">
        <w:rPr>
          <w:szCs w:val="24"/>
        </w:rPr>
        <w:t xml:space="preserve">Bostedor, </w:t>
      </w:r>
      <w:r>
        <w:rPr>
          <w:szCs w:val="24"/>
        </w:rPr>
        <w:t xml:space="preserve">P.J. </w:t>
      </w:r>
      <w:r w:rsidR="006B4DC6" w:rsidRPr="00854FCE">
        <w:rPr>
          <w:szCs w:val="24"/>
        </w:rPr>
        <w:t xml:space="preserve">Masarachia, </w:t>
      </w:r>
      <w:r>
        <w:rPr>
          <w:szCs w:val="24"/>
        </w:rPr>
        <w:t xml:space="preserve">A.A. </w:t>
      </w:r>
      <w:r w:rsidR="006B4DC6" w:rsidRPr="00854FCE">
        <w:rPr>
          <w:szCs w:val="24"/>
        </w:rPr>
        <w:t xml:space="preserve">Reszka, </w:t>
      </w:r>
      <w:r>
        <w:rPr>
          <w:szCs w:val="24"/>
        </w:rPr>
        <w:t xml:space="preserve">G. </w:t>
      </w:r>
      <w:r w:rsidR="006B4DC6" w:rsidRPr="00854FCE">
        <w:rPr>
          <w:szCs w:val="24"/>
        </w:rPr>
        <w:t>Rodan, Alendronate is a specific, nanomolar inhibitor of farnesyl diphosphate synthase</w:t>
      </w:r>
      <w:r>
        <w:rPr>
          <w:szCs w:val="24"/>
        </w:rPr>
        <w:t>,</w:t>
      </w:r>
      <w:r w:rsidRPr="00854FCE">
        <w:rPr>
          <w:szCs w:val="24"/>
        </w:rPr>
        <w:t xml:space="preserve"> </w:t>
      </w:r>
      <w:r w:rsidR="006B4DC6" w:rsidRPr="00854FCE">
        <w:rPr>
          <w:szCs w:val="24"/>
        </w:rPr>
        <w:t xml:space="preserve">Arch. Biochem. Biophys. </w:t>
      </w:r>
      <w:r>
        <w:rPr>
          <w:szCs w:val="24"/>
        </w:rPr>
        <w:t>373 (</w:t>
      </w:r>
      <w:r w:rsidR="006B4DC6" w:rsidRPr="00854FCE">
        <w:rPr>
          <w:szCs w:val="24"/>
        </w:rPr>
        <w:t>2000</w:t>
      </w:r>
      <w:r>
        <w:rPr>
          <w:szCs w:val="24"/>
        </w:rPr>
        <w:t>)</w:t>
      </w:r>
      <w:r w:rsidR="006B4DC6" w:rsidRPr="00854FCE">
        <w:rPr>
          <w:szCs w:val="24"/>
        </w:rPr>
        <w:t xml:space="preserve"> 231–241.</w:t>
      </w:r>
    </w:p>
    <w:p w14:paraId="638498DF" w14:textId="3E582446" w:rsidR="006B4DC6" w:rsidRPr="00637B55" w:rsidRDefault="00637B55">
      <w:pPr>
        <w:pStyle w:val="TFReferencesSection"/>
        <w:numPr>
          <w:ilvl w:val="0"/>
          <w:numId w:val="1"/>
        </w:numPr>
        <w:tabs>
          <w:tab w:val="left" w:pos="851"/>
        </w:tabs>
        <w:rPr>
          <w:szCs w:val="24"/>
        </w:rPr>
      </w:pPr>
      <w:r>
        <w:rPr>
          <w:szCs w:val="24"/>
        </w:rPr>
        <w:t xml:space="preserve">J,E. </w:t>
      </w:r>
      <w:r w:rsidR="006B4DC6" w:rsidRPr="00637B55">
        <w:rPr>
          <w:szCs w:val="24"/>
        </w:rPr>
        <w:t xml:space="preserve">Grove, </w:t>
      </w:r>
      <w:r>
        <w:rPr>
          <w:szCs w:val="24"/>
        </w:rPr>
        <w:t xml:space="preserve">R.J </w:t>
      </w:r>
      <w:r w:rsidR="006B4DC6" w:rsidRPr="00637B55">
        <w:rPr>
          <w:szCs w:val="24"/>
        </w:rPr>
        <w:t xml:space="preserve">Brown. </w:t>
      </w:r>
      <w:r>
        <w:rPr>
          <w:szCs w:val="24"/>
        </w:rPr>
        <w:t xml:space="preserve">D.J. </w:t>
      </w:r>
      <w:r w:rsidR="006B4DC6" w:rsidRPr="00637B55">
        <w:rPr>
          <w:szCs w:val="24"/>
        </w:rPr>
        <w:t>Watts, The intracellular target for the antiresorptive aminobisphosphonate drugs in Dictyostelium discoideum is the enzyme farnesyl diphosphate synthase</w:t>
      </w:r>
      <w:r>
        <w:rPr>
          <w:szCs w:val="24"/>
        </w:rPr>
        <w:t>,</w:t>
      </w:r>
      <w:r w:rsidRPr="00637B55">
        <w:rPr>
          <w:szCs w:val="24"/>
        </w:rPr>
        <w:t xml:space="preserve"> </w:t>
      </w:r>
      <w:r w:rsidR="006B4DC6" w:rsidRPr="005F1C9A">
        <w:rPr>
          <w:szCs w:val="24"/>
        </w:rPr>
        <w:t>J</w:t>
      </w:r>
      <w:r w:rsidR="00067CD0" w:rsidRPr="005F1C9A">
        <w:rPr>
          <w:szCs w:val="24"/>
        </w:rPr>
        <w:t>.</w:t>
      </w:r>
      <w:r w:rsidR="006B4DC6" w:rsidRPr="005F1C9A">
        <w:rPr>
          <w:szCs w:val="24"/>
        </w:rPr>
        <w:t xml:space="preserve"> Bone Miner</w:t>
      </w:r>
      <w:r w:rsidR="00067CD0" w:rsidRPr="005F1C9A">
        <w:rPr>
          <w:szCs w:val="24"/>
        </w:rPr>
        <w:t>.</w:t>
      </w:r>
      <w:r w:rsidR="006B4DC6" w:rsidRPr="005F1C9A">
        <w:rPr>
          <w:szCs w:val="24"/>
        </w:rPr>
        <w:t xml:space="preserve"> Res</w:t>
      </w:r>
      <w:r w:rsidR="00067CD0" w:rsidRPr="005F1C9A">
        <w:rPr>
          <w:szCs w:val="24"/>
        </w:rPr>
        <w:t>.</w:t>
      </w:r>
      <w:r w:rsidR="006B4DC6" w:rsidRPr="00637B55">
        <w:rPr>
          <w:szCs w:val="24"/>
        </w:rPr>
        <w:t xml:space="preserve"> </w:t>
      </w:r>
      <w:r>
        <w:rPr>
          <w:szCs w:val="24"/>
        </w:rPr>
        <w:t>15 (</w:t>
      </w:r>
      <w:r w:rsidR="006B4DC6" w:rsidRPr="005F1C9A">
        <w:rPr>
          <w:szCs w:val="24"/>
        </w:rPr>
        <w:t>2000</w:t>
      </w:r>
      <w:r>
        <w:rPr>
          <w:szCs w:val="24"/>
        </w:rPr>
        <w:t>)</w:t>
      </w:r>
      <w:r w:rsidR="006B4DC6" w:rsidRPr="00637B55">
        <w:rPr>
          <w:szCs w:val="24"/>
        </w:rPr>
        <w:t xml:space="preserve"> 971–81.</w:t>
      </w:r>
    </w:p>
    <w:p w14:paraId="7B99B2F2" w14:textId="184C8D87" w:rsidR="006B4DC6" w:rsidRPr="00DC5790" w:rsidRDefault="00DC5790">
      <w:pPr>
        <w:pStyle w:val="TFReferencesSection"/>
        <w:numPr>
          <w:ilvl w:val="0"/>
          <w:numId w:val="1"/>
        </w:numPr>
        <w:tabs>
          <w:tab w:val="left" w:pos="851"/>
        </w:tabs>
        <w:rPr>
          <w:szCs w:val="24"/>
        </w:rPr>
      </w:pPr>
      <w:r>
        <w:rPr>
          <w:szCs w:val="24"/>
        </w:rPr>
        <w:t xml:space="preserve">J.E. </w:t>
      </w:r>
      <w:r w:rsidR="006B4DC6" w:rsidRPr="00DC5790">
        <w:rPr>
          <w:szCs w:val="24"/>
        </w:rPr>
        <w:t xml:space="preserve">Dunford, </w:t>
      </w:r>
      <w:r>
        <w:rPr>
          <w:szCs w:val="24"/>
        </w:rPr>
        <w:t xml:space="preserve">K. </w:t>
      </w:r>
      <w:r w:rsidR="006B4DC6" w:rsidRPr="00DC5790">
        <w:rPr>
          <w:szCs w:val="24"/>
        </w:rPr>
        <w:t xml:space="preserve">Thompson, </w:t>
      </w:r>
      <w:r>
        <w:rPr>
          <w:szCs w:val="24"/>
        </w:rPr>
        <w:t xml:space="preserve">F.P. </w:t>
      </w:r>
      <w:r w:rsidR="006B4DC6" w:rsidRPr="00DC5790">
        <w:rPr>
          <w:szCs w:val="24"/>
        </w:rPr>
        <w:t xml:space="preserve">Coxon, </w:t>
      </w:r>
      <w:r>
        <w:rPr>
          <w:szCs w:val="24"/>
        </w:rPr>
        <w:t xml:space="preserve">S.P. </w:t>
      </w:r>
      <w:r w:rsidR="006B4DC6" w:rsidRPr="00DC5790">
        <w:rPr>
          <w:szCs w:val="24"/>
        </w:rPr>
        <w:t xml:space="preserve">Luckman, </w:t>
      </w:r>
      <w:r>
        <w:rPr>
          <w:szCs w:val="24"/>
        </w:rPr>
        <w:t xml:space="preserve">F.M. </w:t>
      </w:r>
      <w:r w:rsidR="006B4DC6" w:rsidRPr="00DC5790">
        <w:rPr>
          <w:szCs w:val="24"/>
        </w:rPr>
        <w:t xml:space="preserve">Hahn, </w:t>
      </w:r>
      <w:r>
        <w:rPr>
          <w:szCs w:val="24"/>
        </w:rPr>
        <w:t xml:space="preserve">C.D. </w:t>
      </w:r>
      <w:r w:rsidR="006B4DC6" w:rsidRPr="00DC5790">
        <w:rPr>
          <w:szCs w:val="24"/>
        </w:rPr>
        <w:t xml:space="preserve">Poulter, </w:t>
      </w:r>
      <w:r>
        <w:rPr>
          <w:szCs w:val="24"/>
        </w:rPr>
        <w:t xml:space="preserve">F.H. </w:t>
      </w:r>
      <w:r w:rsidR="006B4DC6" w:rsidRPr="00DC5790">
        <w:rPr>
          <w:szCs w:val="24"/>
        </w:rPr>
        <w:t xml:space="preserve">Ebetino, </w:t>
      </w:r>
      <w:r>
        <w:rPr>
          <w:szCs w:val="24"/>
        </w:rPr>
        <w:t xml:space="preserve">M.J. </w:t>
      </w:r>
      <w:r w:rsidR="006B4DC6" w:rsidRPr="00DC5790">
        <w:rPr>
          <w:szCs w:val="24"/>
        </w:rPr>
        <w:t>Rogers, Structure-activity relationships for inhibition of farnesyl diphosphate synthase in vitro and inhibition of bone resorption in vivo by nitrogen-containing bisphosphonates</w:t>
      </w:r>
      <w:r w:rsidRPr="00DC5790">
        <w:rPr>
          <w:szCs w:val="24"/>
        </w:rPr>
        <w:t xml:space="preserve">, </w:t>
      </w:r>
      <w:r w:rsidR="006B4DC6" w:rsidRPr="00B84AED">
        <w:rPr>
          <w:szCs w:val="24"/>
        </w:rPr>
        <w:t>J. Pharmacol. Exp. Ther</w:t>
      </w:r>
      <w:r w:rsidR="006B4DC6" w:rsidRPr="00DC5790">
        <w:rPr>
          <w:szCs w:val="24"/>
        </w:rPr>
        <w:t xml:space="preserve">. </w:t>
      </w:r>
      <w:r>
        <w:rPr>
          <w:szCs w:val="24"/>
        </w:rPr>
        <w:t>296 (</w:t>
      </w:r>
      <w:r w:rsidR="006B4DC6" w:rsidRPr="00B84AED">
        <w:rPr>
          <w:szCs w:val="24"/>
        </w:rPr>
        <w:t>2001</w:t>
      </w:r>
      <w:r>
        <w:rPr>
          <w:szCs w:val="24"/>
        </w:rPr>
        <w:t>)</w:t>
      </w:r>
      <w:r w:rsidR="006B4DC6" w:rsidRPr="00DC5790">
        <w:rPr>
          <w:szCs w:val="24"/>
        </w:rPr>
        <w:t xml:space="preserve"> 235–42.</w:t>
      </w:r>
    </w:p>
    <w:p w14:paraId="2D84A7A9" w14:textId="27B9FE52" w:rsidR="006B4DC6" w:rsidRPr="00B84AED" w:rsidRDefault="00B84AED">
      <w:pPr>
        <w:pStyle w:val="TFReferencesSection"/>
        <w:numPr>
          <w:ilvl w:val="0"/>
          <w:numId w:val="1"/>
        </w:numPr>
        <w:tabs>
          <w:tab w:val="left" w:pos="851"/>
        </w:tabs>
        <w:rPr>
          <w:szCs w:val="24"/>
        </w:rPr>
      </w:pPr>
      <w:r>
        <w:rPr>
          <w:szCs w:val="24"/>
        </w:rPr>
        <w:t xml:space="preserve">R.G. </w:t>
      </w:r>
      <w:r w:rsidR="006B4DC6" w:rsidRPr="00B84AED">
        <w:rPr>
          <w:szCs w:val="24"/>
        </w:rPr>
        <w:t xml:space="preserve">Russell, </w:t>
      </w:r>
      <w:r>
        <w:rPr>
          <w:szCs w:val="24"/>
        </w:rPr>
        <w:t xml:space="preserve">M.J. </w:t>
      </w:r>
      <w:r w:rsidR="006B4DC6" w:rsidRPr="00B84AED">
        <w:rPr>
          <w:szCs w:val="24"/>
        </w:rPr>
        <w:t xml:space="preserve">Rogers, </w:t>
      </w:r>
      <w:r>
        <w:rPr>
          <w:szCs w:val="24"/>
        </w:rPr>
        <w:t xml:space="preserve">J.C. </w:t>
      </w:r>
      <w:r w:rsidR="006B4DC6" w:rsidRPr="00B84AED">
        <w:rPr>
          <w:szCs w:val="24"/>
        </w:rPr>
        <w:t xml:space="preserve">Frith, </w:t>
      </w:r>
      <w:r>
        <w:rPr>
          <w:szCs w:val="24"/>
        </w:rPr>
        <w:t xml:space="preserve">S.P. </w:t>
      </w:r>
      <w:r w:rsidR="006B4DC6" w:rsidRPr="00B84AED">
        <w:rPr>
          <w:szCs w:val="24"/>
        </w:rPr>
        <w:t xml:space="preserve">Luckman, </w:t>
      </w:r>
      <w:r>
        <w:rPr>
          <w:szCs w:val="24"/>
        </w:rPr>
        <w:t xml:space="preserve">F.P. </w:t>
      </w:r>
      <w:r w:rsidR="006B4DC6" w:rsidRPr="00B84AED">
        <w:rPr>
          <w:szCs w:val="24"/>
        </w:rPr>
        <w:t xml:space="preserve">Coxon, </w:t>
      </w:r>
      <w:r>
        <w:rPr>
          <w:szCs w:val="24"/>
        </w:rPr>
        <w:t xml:space="preserve">H.I. </w:t>
      </w:r>
      <w:r w:rsidR="006B4DC6" w:rsidRPr="00B84AED">
        <w:rPr>
          <w:szCs w:val="24"/>
        </w:rPr>
        <w:t xml:space="preserve">Benford, </w:t>
      </w:r>
      <w:r>
        <w:rPr>
          <w:szCs w:val="24"/>
        </w:rPr>
        <w:t xml:space="preserve">P.I. </w:t>
      </w:r>
      <w:r w:rsidR="006B4DC6" w:rsidRPr="00B84AED">
        <w:rPr>
          <w:szCs w:val="24"/>
        </w:rPr>
        <w:t xml:space="preserve">Croucher, </w:t>
      </w:r>
      <w:r>
        <w:rPr>
          <w:szCs w:val="24"/>
        </w:rPr>
        <w:t xml:space="preserve">C. </w:t>
      </w:r>
      <w:r w:rsidR="006B4DC6" w:rsidRPr="00B84AED">
        <w:rPr>
          <w:szCs w:val="24"/>
        </w:rPr>
        <w:t xml:space="preserve">Shipman, </w:t>
      </w:r>
      <w:r>
        <w:rPr>
          <w:szCs w:val="24"/>
        </w:rPr>
        <w:t xml:space="preserve">H.A. </w:t>
      </w:r>
      <w:r w:rsidR="006B4DC6" w:rsidRPr="00B84AED">
        <w:rPr>
          <w:szCs w:val="24"/>
        </w:rPr>
        <w:t>Fleisch, The pharmacology of bisphosphonates and new insights into their mechanisms of action</w:t>
      </w:r>
      <w:r>
        <w:rPr>
          <w:szCs w:val="24"/>
        </w:rPr>
        <w:t>,</w:t>
      </w:r>
      <w:r w:rsidRPr="00B84AED">
        <w:rPr>
          <w:szCs w:val="24"/>
        </w:rPr>
        <w:t xml:space="preserve"> </w:t>
      </w:r>
      <w:r w:rsidR="006B4DC6" w:rsidRPr="00CA730A">
        <w:rPr>
          <w:szCs w:val="24"/>
        </w:rPr>
        <w:t>J. Bone Miner. Res</w:t>
      </w:r>
      <w:r w:rsidR="006B4DC6" w:rsidRPr="00B84AED">
        <w:rPr>
          <w:szCs w:val="24"/>
        </w:rPr>
        <w:t xml:space="preserve">. </w:t>
      </w:r>
      <w:r>
        <w:rPr>
          <w:szCs w:val="24"/>
        </w:rPr>
        <w:t>14 (</w:t>
      </w:r>
      <w:r w:rsidR="006B4DC6" w:rsidRPr="00CA730A">
        <w:rPr>
          <w:szCs w:val="24"/>
        </w:rPr>
        <w:t>1999</w:t>
      </w:r>
      <w:r>
        <w:rPr>
          <w:szCs w:val="24"/>
        </w:rPr>
        <w:t>)</w:t>
      </w:r>
      <w:r w:rsidR="006B4DC6" w:rsidRPr="00B84AED">
        <w:rPr>
          <w:szCs w:val="24"/>
        </w:rPr>
        <w:t xml:space="preserve"> 53–65.</w:t>
      </w:r>
    </w:p>
    <w:p w14:paraId="5108A162" w14:textId="2A75C862" w:rsidR="0036311C" w:rsidRPr="00902E3E" w:rsidRDefault="00902E3E">
      <w:pPr>
        <w:pStyle w:val="TFReferencesSection"/>
        <w:numPr>
          <w:ilvl w:val="0"/>
          <w:numId w:val="1"/>
        </w:numPr>
        <w:tabs>
          <w:tab w:val="left" w:pos="851"/>
        </w:tabs>
        <w:rPr>
          <w:szCs w:val="24"/>
        </w:rPr>
      </w:pPr>
      <w:r>
        <w:rPr>
          <w:szCs w:val="24"/>
          <w:lang w:eastAsia="it-IT"/>
        </w:rPr>
        <w:t xml:space="preserve">L.C. </w:t>
      </w:r>
      <w:r w:rsidR="00336623" w:rsidRPr="00902E3E">
        <w:rPr>
          <w:szCs w:val="24"/>
          <w:lang w:eastAsia="it-IT"/>
        </w:rPr>
        <w:t xml:space="preserve">Tarshis, </w:t>
      </w:r>
      <w:r>
        <w:rPr>
          <w:szCs w:val="24"/>
          <w:lang w:eastAsia="it-IT"/>
        </w:rPr>
        <w:t xml:space="preserve">M. </w:t>
      </w:r>
      <w:r w:rsidR="00336623" w:rsidRPr="00902E3E">
        <w:rPr>
          <w:szCs w:val="24"/>
          <w:lang w:eastAsia="it-IT"/>
        </w:rPr>
        <w:t xml:space="preserve">Yan, </w:t>
      </w:r>
      <w:r>
        <w:rPr>
          <w:szCs w:val="24"/>
          <w:lang w:eastAsia="it-IT"/>
        </w:rPr>
        <w:t xml:space="preserve">C.D. </w:t>
      </w:r>
      <w:r w:rsidR="00336623" w:rsidRPr="00902E3E">
        <w:rPr>
          <w:szCs w:val="24"/>
          <w:lang w:eastAsia="it-IT"/>
        </w:rPr>
        <w:t xml:space="preserve">Poulter, </w:t>
      </w:r>
      <w:r w:rsidR="007D55B1">
        <w:rPr>
          <w:szCs w:val="24"/>
          <w:lang w:eastAsia="it-IT"/>
        </w:rPr>
        <w:t xml:space="preserve">J.C. </w:t>
      </w:r>
      <w:r w:rsidR="00336623" w:rsidRPr="00902E3E">
        <w:rPr>
          <w:szCs w:val="24"/>
          <w:lang w:eastAsia="it-IT"/>
        </w:rPr>
        <w:t>Sacchettini, Crystal structure of recombinant farnesyl diphosphate synthase at 2.6-Å resolution</w:t>
      </w:r>
      <w:r w:rsidR="007D55B1">
        <w:rPr>
          <w:szCs w:val="24"/>
          <w:lang w:eastAsia="it-IT"/>
        </w:rPr>
        <w:t>,</w:t>
      </w:r>
      <w:r w:rsidR="007D55B1" w:rsidRPr="00902E3E">
        <w:rPr>
          <w:szCs w:val="24"/>
          <w:lang w:eastAsia="it-IT"/>
        </w:rPr>
        <w:t xml:space="preserve"> </w:t>
      </w:r>
      <w:r w:rsidR="00336623" w:rsidRPr="00E85F64">
        <w:rPr>
          <w:szCs w:val="24"/>
          <w:lang w:eastAsia="it-IT"/>
        </w:rPr>
        <w:t>Biochemistry</w:t>
      </w:r>
      <w:r w:rsidR="007D55B1">
        <w:rPr>
          <w:szCs w:val="24"/>
          <w:lang w:eastAsia="it-IT"/>
        </w:rPr>
        <w:t xml:space="preserve"> 33 (</w:t>
      </w:r>
      <w:r w:rsidR="00336623" w:rsidRPr="00E85F64">
        <w:rPr>
          <w:szCs w:val="24"/>
          <w:lang w:eastAsia="it-IT"/>
        </w:rPr>
        <w:t>1994</w:t>
      </w:r>
      <w:r w:rsidR="007D55B1">
        <w:rPr>
          <w:szCs w:val="24"/>
          <w:lang w:eastAsia="it-IT"/>
        </w:rPr>
        <w:t>)</w:t>
      </w:r>
      <w:r w:rsidR="00336623" w:rsidRPr="00902E3E">
        <w:rPr>
          <w:szCs w:val="24"/>
          <w:lang w:eastAsia="it-IT"/>
        </w:rPr>
        <w:t xml:space="preserve"> 10871-10877.</w:t>
      </w:r>
    </w:p>
    <w:p w14:paraId="57D34FDD" w14:textId="1D729386" w:rsidR="00336623" w:rsidRPr="00E85F64" w:rsidRDefault="00E85F64">
      <w:pPr>
        <w:pStyle w:val="TFReferencesSection"/>
        <w:numPr>
          <w:ilvl w:val="0"/>
          <w:numId w:val="1"/>
        </w:numPr>
        <w:tabs>
          <w:tab w:val="left" w:pos="851"/>
        </w:tabs>
        <w:rPr>
          <w:szCs w:val="24"/>
        </w:rPr>
      </w:pPr>
      <w:r>
        <w:rPr>
          <w:szCs w:val="24"/>
          <w:lang w:eastAsia="it-IT"/>
        </w:rPr>
        <w:lastRenderedPageBreak/>
        <w:t xml:space="preserve">L.C. </w:t>
      </w:r>
      <w:r w:rsidR="00336623" w:rsidRPr="00E85F64">
        <w:rPr>
          <w:szCs w:val="24"/>
          <w:lang w:eastAsia="it-IT"/>
        </w:rPr>
        <w:t xml:space="preserve">Tarshis, </w:t>
      </w:r>
      <w:r>
        <w:rPr>
          <w:szCs w:val="24"/>
          <w:lang w:eastAsia="it-IT"/>
        </w:rPr>
        <w:t xml:space="preserve">P.J. </w:t>
      </w:r>
      <w:r w:rsidR="00336623" w:rsidRPr="00E85F64">
        <w:rPr>
          <w:szCs w:val="24"/>
          <w:lang w:eastAsia="it-IT"/>
        </w:rPr>
        <w:t xml:space="preserve">Proteau, </w:t>
      </w:r>
      <w:r>
        <w:rPr>
          <w:szCs w:val="24"/>
          <w:lang w:eastAsia="it-IT"/>
        </w:rPr>
        <w:t xml:space="preserve">B.A. </w:t>
      </w:r>
      <w:r w:rsidR="00336623" w:rsidRPr="00E85F64">
        <w:rPr>
          <w:szCs w:val="24"/>
          <w:lang w:eastAsia="it-IT"/>
        </w:rPr>
        <w:t xml:space="preserve">Kellogg, </w:t>
      </w:r>
      <w:r>
        <w:rPr>
          <w:szCs w:val="24"/>
          <w:lang w:eastAsia="it-IT"/>
        </w:rPr>
        <w:t xml:space="preserve">J.C. </w:t>
      </w:r>
      <w:r w:rsidR="00336623" w:rsidRPr="00E85F64">
        <w:rPr>
          <w:szCs w:val="24"/>
          <w:lang w:eastAsia="it-IT"/>
        </w:rPr>
        <w:t xml:space="preserve">Sacchettini, </w:t>
      </w:r>
      <w:r>
        <w:rPr>
          <w:szCs w:val="24"/>
          <w:lang w:eastAsia="it-IT"/>
        </w:rPr>
        <w:t xml:space="preserve">C.D. </w:t>
      </w:r>
      <w:r w:rsidR="00336623" w:rsidRPr="00E85F64">
        <w:rPr>
          <w:szCs w:val="24"/>
          <w:lang w:eastAsia="it-IT"/>
        </w:rPr>
        <w:t>Poulter, Regulation of product chain length by isoprenyl diphosphate synthases</w:t>
      </w:r>
      <w:r>
        <w:rPr>
          <w:szCs w:val="24"/>
          <w:lang w:eastAsia="it-IT"/>
        </w:rPr>
        <w:t>,</w:t>
      </w:r>
      <w:r w:rsidRPr="00E85F64">
        <w:rPr>
          <w:szCs w:val="24"/>
          <w:lang w:eastAsia="it-IT"/>
        </w:rPr>
        <w:t xml:space="preserve"> </w:t>
      </w:r>
      <w:r w:rsidR="00336623" w:rsidRPr="00F467C1">
        <w:rPr>
          <w:szCs w:val="24"/>
          <w:lang w:eastAsia="it-IT"/>
        </w:rPr>
        <w:t>Proc. Natl. Acad. Sci USA</w:t>
      </w:r>
      <w:r w:rsidR="00336623" w:rsidRPr="00E85F64">
        <w:rPr>
          <w:szCs w:val="24"/>
          <w:lang w:eastAsia="it-IT"/>
        </w:rPr>
        <w:t xml:space="preserve"> </w:t>
      </w:r>
      <w:r>
        <w:rPr>
          <w:szCs w:val="24"/>
          <w:lang w:eastAsia="it-IT"/>
        </w:rPr>
        <w:t>93 (</w:t>
      </w:r>
      <w:r w:rsidR="00336623" w:rsidRPr="00F467C1">
        <w:rPr>
          <w:szCs w:val="24"/>
          <w:lang w:eastAsia="it-IT"/>
        </w:rPr>
        <w:t>1996</w:t>
      </w:r>
      <w:r>
        <w:rPr>
          <w:szCs w:val="24"/>
          <w:lang w:eastAsia="it-IT"/>
        </w:rPr>
        <w:t>)</w:t>
      </w:r>
      <w:r w:rsidR="00336623" w:rsidRPr="00E85F64">
        <w:rPr>
          <w:szCs w:val="24"/>
          <w:lang w:eastAsia="it-IT"/>
        </w:rPr>
        <w:t xml:space="preserve"> 15018-15023.</w:t>
      </w:r>
    </w:p>
    <w:p w14:paraId="2D0EBD8C" w14:textId="48943EC0" w:rsidR="00336623" w:rsidRPr="002E651D" w:rsidRDefault="002E651D">
      <w:pPr>
        <w:pStyle w:val="TFReferencesSection"/>
        <w:numPr>
          <w:ilvl w:val="0"/>
          <w:numId w:val="1"/>
        </w:numPr>
        <w:tabs>
          <w:tab w:val="left" w:pos="851"/>
        </w:tabs>
        <w:rPr>
          <w:szCs w:val="24"/>
        </w:rPr>
      </w:pPr>
      <w:r>
        <w:rPr>
          <w:szCs w:val="24"/>
        </w:rPr>
        <w:t xml:space="preserve">D.J. </w:t>
      </w:r>
      <w:r w:rsidR="00336623" w:rsidRPr="002E651D">
        <w:rPr>
          <w:szCs w:val="24"/>
        </w:rPr>
        <w:t xml:space="preserve">Hosfield, </w:t>
      </w:r>
      <w:r>
        <w:rPr>
          <w:szCs w:val="24"/>
        </w:rPr>
        <w:t xml:space="preserve">Y. </w:t>
      </w:r>
      <w:r w:rsidR="00336623" w:rsidRPr="002E651D">
        <w:rPr>
          <w:szCs w:val="24"/>
        </w:rPr>
        <w:t xml:space="preserve">Zhang, </w:t>
      </w:r>
      <w:r>
        <w:rPr>
          <w:szCs w:val="24"/>
        </w:rPr>
        <w:t xml:space="preserve">D.R. </w:t>
      </w:r>
      <w:r w:rsidR="00336623" w:rsidRPr="002E651D">
        <w:rPr>
          <w:szCs w:val="24"/>
        </w:rPr>
        <w:t xml:space="preserve">Dougan, </w:t>
      </w:r>
      <w:r>
        <w:rPr>
          <w:szCs w:val="24"/>
        </w:rPr>
        <w:t xml:space="preserve">A. </w:t>
      </w:r>
      <w:r w:rsidR="00336623" w:rsidRPr="002E651D">
        <w:rPr>
          <w:szCs w:val="24"/>
        </w:rPr>
        <w:t xml:space="preserve">Broun, </w:t>
      </w:r>
      <w:r>
        <w:rPr>
          <w:szCs w:val="24"/>
        </w:rPr>
        <w:t xml:space="preserve">L.W. </w:t>
      </w:r>
      <w:r w:rsidR="00336623" w:rsidRPr="002E651D">
        <w:rPr>
          <w:szCs w:val="24"/>
        </w:rPr>
        <w:t xml:space="preserve">Tari, </w:t>
      </w:r>
      <w:r>
        <w:rPr>
          <w:szCs w:val="24"/>
        </w:rPr>
        <w:t xml:space="preserve">R.V. </w:t>
      </w:r>
      <w:r w:rsidR="00336623" w:rsidRPr="002E651D">
        <w:rPr>
          <w:szCs w:val="24"/>
        </w:rPr>
        <w:t xml:space="preserve">Swanson, </w:t>
      </w:r>
      <w:r>
        <w:rPr>
          <w:szCs w:val="24"/>
        </w:rPr>
        <w:t xml:space="preserve">J. </w:t>
      </w:r>
      <w:r w:rsidR="00336623" w:rsidRPr="002E651D">
        <w:rPr>
          <w:szCs w:val="24"/>
        </w:rPr>
        <w:t>Finn, Structural basis for bisphosphonate-mediated inhibition of isoprenoid biosynthesis</w:t>
      </w:r>
      <w:r>
        <w:rPr>
          <w:szCs w:val="24"/>
        </w:rPr>
        <w:t>,</w:t>
      </w:r>
      <w:r w:rsidRPr="002E651D">
        <w:rPr>
          <w:szCs w:val="24"/>
        </w:rPr>
        <w:t xml:space="preserve"> </w:t>
      </w:r>
      <w:r w:rsidR="00336623" w:rsidRPr="009C2044">
        <w:rPr>
          <w:szCs w:val="24"/>
        </w:rPr>
        <w:t>J.</w:t>
      </w:r>
      <w:r>
        <w:rPr>
          <w:szCs w:val="24"/>
        </w:rPr>
        <w:t xml:space="preserve"> </w:t>
      </w:r>
      <w:r w:rsidR="00336623" w:rsidRPr="009C2044">
        <w:rPr>
          <w:szCs w:val="24"/>
        </w:rPr>
        <w:t>B</w:t>
      </w:r>
      <w:r>
        <w:rPr>
          <w:szCs w:val="24"/>
        </w:rPr>
        <w:t>iol</w:t>
      </w:r>
      <w:r w:rsidR="00336623" w:rsidRPr="009C2044">
        <w:rPr>
          <w:szCs w:val="24"/>
        </w:rPr>
        <w:t>.</w:t>
      </w:r>
      <w:r>
        <w:rPr>
          <w:szCs w:val="24"/>
        </w:rPr>
        <w:t xml:space="preserve"> </w:t>
      </w:r>
      <w:r w:rsidR="00336623" w:rsidRPr="009C2044">
        <w:rPr>
          <w:szCs w:val="24"/>
        </w:rPr>
        <w:t>C</w:t>
      </w:r>
      <w:r>
        <w:rPr>
          <w:szCs w:val="24"/>
        </w:rPr>
        <w:t>hem</w:t>
      </w:r>
      <w:r w:rsidR="00336623" w:rsidRPr="009C2044">
        <w:rPr>
          <w:szCs w:val="24"/>
        </w:rPr>
        <w:t>.</w:t>
      </w:r>
      <w:r w:rsidR="00336623" w:rsidRPr="002E651D">
        <w:rPr>
          <w:szCs w:val="24"/>
        </w:rPr>
        <w:t xml:space="preserve"> </w:t>
      </w:r>
      <w:r>
        <w:rPr>
          <w:szCs w:val="24"/>
        </w:rPr>
        <w:t>279 (</w:t>
      </w:r>
      <w:r w:rsidR="00336623" w:rsidRPr="009C2044">
        <w:rPr>
          <w:szCs w:val="24"/>
        </w:rPr>
        <w:t>2004</w:t>
      </w:r>
      <w:r>
        <w:rPr>
          <w:szCs w:val="24"/>
        </w:rPr>
        <w:t>)</w:t>
      </w:r>
      <w:r w:rsidR="00336623" w:rsidRPr="002E651D">
        <w:rPr>
          <w:szCs w:val="24"/>
        </w:rPr>
        <w:t xml:space="preserve"> 8526–8529.</w:t>
      </w:r>
    </w:p>
    <w:p w14:paraId="5BEDECA5" w14:textId="2C52C6A9" w:rsidR="00336623" w:rsidRPr="00DA1045" w:rsidRDefault="00DA1045">
      <w:pPr>
        <w:pStyle w:val="TFReferencesSection"/>
        <w:numPr>
          <w:ilvl w:val="0"/>
          <w:numId w:val="1"/>
        </w:numPr>
        <w:tabs>
          <w:tab w:val="left" w:pos="851"/>
        </w:tabs>
        <w:rPr>
          <w:szCs w:val="24"/>
        </w:rPr>
      </w:pPr>
      <w:r>
        <w:rPr>
          <w:szCs w:val="24"/>
          <w:lang w:eastAsia="it-IT"/>
        </w:rPr>
        <w:t xml:space="preserve">Y. </w:t>
      </w:r>
      <w:r w:rsidR="00336623" w:rsidRPr="00DA1045">
        <w:rPr>
          <w:szCs w:val="24"/>
          <w:lang w:eastAsia="it-IT"/>
        </w:rPr>
        <w:t xml:space="preserve">Takai, </w:t>
      </w:r>
      <w:r>
        <w:rPr>
          <w:szCs w:val="24"/>
          <w:lang w:eastAsia="it-IT"/>
        </w:rPr>
        <w:t xml:space="preserve">T. </w:t>
      </w:r>
      <w:r w:rsidR="00336623" w:rsidRPr="00DA1045">
        <w:rPr>
          <w:szCs w:val="24"/>
          <w:lang w:eastAsia="it-IT"/>
        </w:rPr>
        <w:t xml:space="preserve">Sasaki, </w:t>
      </w:r>
      <w:r>
        <w:rPr>
          <w:szCs w:val="24"/>
          <w:lang w:eastAsia="it-IT"/>
        </w:rPr>
        <w:t xml:space="preserve">T. </w:t>
      </w:r>
      <w:r w:rsidR="00336623" w:rsidRPr="00DA1045">
        <w:rPr>
          <w:szCs w:val="24"/>
          <w:lang w:eastAsia="it-IT"/>
        </w:rPr>
        <w:t>Matozaki, Small GTP-binding proteins</w:t>
      </w:r>
      <w:r>
        <w:rPr>
          <w:szCs w:val="24"/>
          <w:lang w:eastAsia="it-IT"/>
        </w:rPr>
        <w:t>,</w:t>
      </w:r>
      <w:r w:rsidRPr="00DA1045">
        <w:rPr>
          <w:szCs w:val="24"/>
          <w:lang w:eastAsia="it-IT"/>
        </w:rPr>
        <w:t xml:space="preserve"> </w:t>
      </w:r>
      <w:r w:rsidR="00336623" w:rsidRPr="008674A3">
        <w:rPr>
          <w:iCs/>
          <w:szCs w:val="24"/>
          <w:lang w:eastAsia="it-IT"/>
        </w:rPr>
        <w:t xml:space="preserve">Physiol. Rev. </w:t>
      </w:r>
      <w:r>
        <w:rPr>
          <w:iCs/>
          <w:szCs w:val="24"/>
          <w:lang w:eastAsia="it-IT"/>
        </w:rPr>
        <w:t>81 (</w:t>
      </w:r>
      <w:r w:rsidR="00336623" w:rsidRPr="008674A3">
        <w:rPr>
          <w:iCs/>
          <w:szCs w:val="24"/>
          <w:lang w:eastAsia="it-IT"/>
        </w:rPr>
        <w:t>2001</w:t>
      </w:r>
      <w:r>
        <w:rPr>
          <w:iCs/>
          <w:szCs w:val="24"/>
          <w:lang w:eastAsia="it-IT"/>
        </w:rPr>
        <w:t>)</w:t>
      </w:r>
      <w:r w:rsidR="00336623" w:rsidRPr="00DA1045">
        <w:rPr>
          <w:bCs/>
          <w:szCs w:val="24"/>
          <w:lang w:eastAsia="it-IT"/>
        </w:rPr>
        <w:t xml:space="preserve"> </w:t>
      </w:r>
      <w:r w:rsidR="00336623" w:rsidRPr="00DA1045">
        <w:rPr>
          <w:szCs w:val="24"/>
          <w:lang w:eastAsia="it-IT"/>
        </w:rPr>
        <w:t>153–208.</w:t>
      </w:r>
    </w:p>
    <w:p w14:paraId="5BC8417D" w14:textId="3A9F1613" w:rsidR="00336623" w:rsidRPr="0056641A" w:rsidRDefault="0056641A">
      <w:pPr>
        <w:pStyle w:val="TFReferencesSection"/>
        <w:numPr>
          <w:ilvl w:val="0"/>
          <w:numId w:val="1"/>
        </w:numPr>
        <w:tabs>
          <w:tab w:val="left" w:pos="851"/>
        </w:tabs>
        <w:rPr>
          <w:szCs w:val="24"/>
        </w:rPr>
      </w:pPr>
      <w:r>
        <w:rPr>
          <w:iCs/>
          <w:szCs w:val="24"/>
          <w:lang w:eastAsia="it-IT"/>
        </w:rPr>
        <w:t xml:space="preserve">K. </w:t>
      </w:r>
      <w:r w:rsidR="00336623" w:rsidRPr="0056641A">
        <w:rPr>
          <w:iCs/>
          <w:szCs w:val="24"/>
          <w:lang w:eastAsia="it-IT"/>
        </w:rPr>
        <w:t xml:space="preserve">Burridge, </w:t>
      </w:r>
      <w:r>
        <w:rPr>
          <w:iCs/>
          <w:szCs w:val="24"/>
          <w:lang w:eastAsia="it-IT"/>
        </w:rPr>
        <w:t xml:space="preserve">R. </w:t>
      </w:r>
      <w:r w:rsidR="00336623" w:rsidRPr="0056641A">
        <w:rPr>
          <w:iCs/>
          <w:szCs w:val="24"/>
          <w:lang w:eastAsia="it-IT"/>
        </w:rPr>
        <w:t>Doughman, Front and back by Rho and Rac</w:t>
      </w:r>
      <w:r>
        <w:rPr>
          <w:iCs/>
          <w:szCs w:val="24"/>
          <w:lang w:eastAsia="it-IT"/>
        </w:rPr>
        <w:t>,</w:t>
      </w:r>
      <w:r w:rsidRPr="0056641A">
        <w:rPr>
          <w:iCs/>
          <w:szCs w:val="24"/>
          <w:lang w:eastAsia="it-IT"/>
        </w:rPr>
        <w:t xml:space="preserve"> </w:t>
      </w:r>
      <w:r w:rsidR="00336623" w:rsidRPr="000B2841">
        <w:rPr>
          <w:iCs/>
          <w:szCs w:val="24"/>
          <w:lang w:eastAsia="it-IT"/>
        </w:rPr>
        <w:t>Nat. Cell Biol.</w:t>
      </w:r>
      <w:r w:rsidR="00336623" w:rsidRPr="0056641A">
        <w:rPr>
          <w:iCs/>
          <w:szCs w:val="24"/>
          <w:lang w:eastAsia="it-IT"/>
        </w:rPr>
        <w:t xml:space="preserve"> </w:t>
      </w:r>
      <w:r>
        <w:rPr>
          <w:iCs/>
          <w:szCs w:val="24"/>
          <w:lang w:eastAsia="it-IT"/>
        </w:rPr>
        <w:t>8 (</w:t>
      </w:r>
      <w:r w:rsidR="00336623" w:rsidRPr="000B2841">
        <w:rPr>
          <w:iCs/>
          <w:szCs w:val="24"/>
          <w:lang w:eastAsia="it-IT"/>
        </w:rPr>
        <w:t>2006</w:t>
      </w:r>
      <w:r>
        <w:rPr>
          <w:iCs/>
          <w:szCs w:val="24"/>
          <w:lang w:eastAsia="it-IT"/>
        </w:rPr>
        <w:t>)</w:t>
      </w:r>
      <w:r w:rsidR="00336623" w:rsidRPr="0056641A">
        <w:rPr>
          <w:b/>
          <w:bCs/>
          <w:iCs/>
          <w:szCs w:val="24"/>
          <w:lang w:eastAsia="it-IT"/>
        </w:rPr>
        <w:t xml:space="preserve"> </w:t>
      </w:r>
      <w:r w:rsidR="00336623" w:rsidRPr="0056641A">
        <w:rPr>
          <w:iCs/>
          <w:szCs w:val="24"/>
          <w:lang w:eastAsia="it-IT"/>
        </w:rPr>
        <w:t>781–782.</w:t>
      </w:r>
    </w:p>
    <w:p w14:paraId="79231618" w14:textId="2BEAD558" w:rsidR="00A8393E" w:rsidRPr="004B2700" w:rsidRDefault="004B2700" w:rsidP="00A8393E">
      <w:pPr>
        <w:pStyle w:val="TFReferencesSection"/>
        <w:numPr>
          <w:ilvl w:val="0"/>
          <w:numId w:val="1"/>
        </w:numPr>
        <w:tabs>
          <w:tab w:val="left" w:pos="851"/>
        </w:tabs>
        <w:rPr>
          <w:szCs w:val="24"/>
        </w:rPr>
      </w:pPr>
      <w:r>
        <w:rPr>
          <w:szCs w:val="24"/>
        </w:rPr>
        <w:t xml:space="preserve">E.R. </w:t>
      </w:r>
      <w:r w:rsidR="00A8393E" w:rsidRPr="004B2700">
        <w:rPr>
          <w:szCs w:val="24"/>
        </w:rPr>
        <w:t xml:space="preserve">van Beek, </w:t>
      </w:r>
      <w:r>
        <w:rPr>
          <w:szCs w:val="24"/>
        </w:rPr>
        <w:t xml:space="preserve">C. </w:t>
      </w:r>
      <w:r w:rsidR="00A8393E" w:rsidRPr="004B2700">
        <w:rPr>
          <w:szCs w:val="24"/>
        </w:rPr>
        <w:t xml:space="preserve">Lowik, </w:t>
      </w:r>
      <w:r>
        <w:rPr>
          <w:szCs w:val="24"/>
        </w:rPr>
        <w:t xml:space="preserve">G. </w:t>
      </w:r>
      <w:r w:rsidR="00A8393E" w:rsidRPr="004B2700">
        <w:rPr>
          <w:szCs w:val="24"/>
        </w:rPr>
        <w:t xml:space="preserve">van der Pluijm, </w:t>
      </w:r>
      <w:r>
        <w:rPr>
          <w:szCs w:val="24"/>
        </w:rPr>
        <w:t xml:space="preserve">S. </w:t>
      </w:r>
      <w:r w:rsidR="00A8393E" w:rsidRPr="004B2700">
        <w:rPr>
          <w:szCs w:val="24"/>
        </w:rPr>
        <w:t>Papapoulos, The role of geranylgeranylation in bone resorption and its suppression by bisphosphonates in fetal bone explants in vitro: A clue to the mechanism of action of nitrogen-containing bisphosphonates</w:t>
      </w:r>
      <w:r>
        <w:rPr>
          <w:szCs w:val="24"/>
        </w:rPr>
        <w:t>,</w:t>
      </w:r>
      <w:r w:rsidRPr="004B2700">
        <w:rPr>
          <w:szCs w:val="24"/>
        </w:rPr>
        <w:t xml:space="preserve"> </w:t>
      </w:r>
      <w:r w:rsidR="00A8393E" w:rsidRPr="006B21E8">
        <w:rPr>
          <w:szCs w:val="24"/>
        </w:rPr>
        <w:t>J. Bone Miner. Res</w:t>
      </w:r>
      <w:r w:rsidR="00A8393E" w:rsidRPr="004B2700">
        <w:rPr>
          <w:szCs w:val="24"/>
        </w:rPr>
        <w:t xml:space="preserve">. </w:t>
      </w:r>
      <w:r>
        <w:rPr>
          <w:szCs w:val="24"/>
        </w:rPr>
        <w:t>14 (</w:t>
      </w:r>
      <w:r w:rsidR="00A8393E" w:rsidRPr="006B21E8">
        <w:rPr>
          <w:szCs w:val="24"/>
        </w:rPr>
        <w:t>1999</w:t>
      </w:r>
      <w:r>
        <w:rPr>
          <w:szCs w:val="24"/>
        </w:rPr>
        <w:t>)</w:t>
      </w:r>
      <w:r w:rsidR="00A8393E" w:rsidRPr="004B2700">
        <w:rPr>
          <w:szCs w:val="24"/>
        </w:rPr>
        <w:t xml:space="preserve"> 722–729.</w:t>
      </w:r>
    </w:p>
    <w:p w14:paraId="1EEF15B9" w14:textId="4E8AEC27" w:rsidR="0017718D" w:rsidRPr="006B21E8" w:rsidRDefault="006B21E8">
      <w:pPr>
        <w:pStyle w:val="TFReferencesSection"/>
        <w:numPr>
          <w:ilvl w:val="0"/>
          <w:numId w:val="1"/>
        </w:numPr>
        <w:tabs>
          <w:tab w:val="left" w:pos="851"/>
        </w:tabs>
        <w:rPr>
          <w:szCs w:val="24"/>
        </w:rPr>
      </w:pPr>
      <w:r>
        <w:rPr>
          <w:szCs w:val="24"/>
        </w:rPr>
        <w:t xml:space="preserve">J.M. </w:t>
      </w:r>
      <w:r w:rsidR="0017718D" w:rsidRPr="006B21E8">
        <w:rPr>
          <w:szCs w:val="24"/>
        </w:rPr>
        <w:t xml:space="preserve">Rondeau, </w:t>
      </w:r>
      <w:r>
        <w:rPr>
          <w:szCs w:val="24"/>
        </w:rPr>
        <w:t xml:space="preserve">F. </w:t>
      </w:r>
      <w:r w:rsidR="0017718D" w:rsidRPr="006B21E8">
        <w:rPr>
          <w:szCs w:val="24"/>
        </w:rPr>
        <w:t xml:space="preserve">Bitsch, </w:t>
      </w:r>
      <w:r>
        <w:rPr>
          <w:szCs w:val="24"/>
        </w:rPr>
        <w:t xml:space="preserve">E. </w:t>
      </w:r>
      <w:r w:rsidR="0017718D" w:rsidRPr="006B21E8">
        <w:rPr>
          <w:szCs w:val="24"/>
        </w:rPr>
        <w:t xml:space="preserve">Bourgier, </w:t>
      </w:r>
      <w:r>
        <w:rPr>
          <w:szCs w:val="24"/>
        </w:rPr>
        <w:t xml:space="preserve">M. </w:t>
      </w:r>
      <w:r w:rsidR="0017718D" w:rsidRPr="006B21E8">
        <w:rPr>
          <w:szCs w:val="24"/>
        </w:rPr>
        <w:t xml:space="preserve">Geiser, </w:t>
      </w:r>
      <w:r>
        <w:rPr>
          <w:szCs w:val="24"/>
        </w:rPr>
        <w:t xml:space="preserve">R. </w:t>
      </w:r>
      <w:r w:rsidR="0017718D" w:rsidRPr="006B21E8">
        <w:rPr>
          <w:szCs w:val="24"/>
        </w:rPr>
        <w:t>Hemmig,</w:t>
      </w:r>
      <w:r>
        <w:rPr>
          <w:szCs w:val="24"/>
        </w:rPr>
        <w:t xml:space="preserve"> M.</w:t>
      </w:r>
      <w:r w:rsidR="0017718D" w:rsidRPr="006B21E8">
        <w:rPr>
          <w:szCs w:val="24"/>
        </w:rPr>
        <w:t xml:space="preserve"> Kroemer, </w:t>
      </w:r>
      <w:r w:rsidR="00971124">
        <w:rPr>
          <w:szCs w:val="24"/>
        </w:rPr>
        <w:t xml:space="preserve">S. </w:t>
      </w:r>
      <w:r w:rsidR="0017718D" w:rsidRPr="006B21E8">
        <w:rPr>
          <w:szCs w:val="24"/>
        </w:rPr>
        <w:t xml:space="preserve">Lehmann, </w:t>
      </w:r>
      <w:r w:rsidR="00971124">
        <w:rPr>
          <w:szCs w:val="24"/>
        </w:rPr>
        <w:t xml:space="preserve">P. </w:t>
      </w:r>
      <w:r w:rsidR="0017718D" w:rsidRPr="006B21E8">
        <w:rPr>
          <w:szCs w:val="24"/>
        </w:rPr>
        <w:t xml:space="preserve">Ramage, </w:t>
      </w:r>
      <w:r w:rsidR="00971124">
        <w:rPr>
          <w:szCs w:val="24"/>
        </w:rPr>
        <w:t xml:space="preserve">S. </w:t>
      </w:r>
      <w:r w:rsidR="0017718D" w:rsidRPr="006B21E8">
        <w:rPr>
          <w:szCs w:val="24"/>
        </w:rPr>
        <w:t xml:space="preserve">Rieffel, </w:t>
      </w:r>
      <w:r w:rsidR="00971124">
        <w:rPr>
          <w:szCs w:val="24"/>
        </w:rPr>
        <w:t xml:space="preserve">A. </w:t>
      </w:r>
      <w:r w:rsidR="0017718D" w:rsidRPr="006B21E8">
        <w:rPr>
          <w:szCs w:val="24"/>
        </w:rPr>
        <w:t xml:space="preserve">Strauss, </w:t>
      </w:r>
      <w:r w:rsidR="00971124">
        <w:rPr>
          <w:szCs w:val="24"/>
        </w:rPr>
        <w:t xml:space="preserve">J.R. </w:t>
      </w:r>
      <w:r w:rsidR="0017718D" w:rsidRPr="006B21E8">
        <w:rPr>
          <w:szCs w:val="24"/>
        </w:rPr>
        <w:t xml:space="preserve">Green, </w:t>
      </w:r>
      <w:r w:rsidR="00971124">
        <w:rPr>
          <w:szCs w:val="24"/>
        </w:rPr>
        <w:t xml:space="preserve">W. </w:t>
      </w:r>
      <w:r w:rsidR="0017718D" w:rsidRPr="006B21E8">
        <w:rPr>
          <w:szCs w:val="24"/>
        </w:rPr>
        <w:t xml:space="preserve">Jahnke, </w:t>
      </w:r>
      <w:r w:rsidR="0017718D" w:rsidRPr="006B21E8">
        <w:rPr>
          <w:bCs/>
          <w:szCs w:val="24"/>
        </w:rPr>
        <w:t>Structural basis for the exceptional in vivo efficacy of bisphosphonate drugs</w:t>
      </w:r>
      <w:r w:rsidR="00971124">
        <w:rPr>
          <w:bCs/>
          <w:szCs w:val="24"/>
        </w:rPr>
        <w:t>,</w:t>
      </w:r>
      <w:r w:rsidR="00971124" w:rsidRPr="006B21E8">
        <w:rPr>
          <w:szCs w:val="24"/>
        </w:rPr>
        <w:t xml:space="preserve"> </w:t>
      </w:r>
      <w:r w:rsidR="0017718D" w:rsidRPr="00F3114C">
        <w:rPr>
          <w:szCs w:val="24"/>
        </w:rPr>
        <w:t>Chem.Med.Chem</w:t>
      </w:r>
      <w:r w:rsidR="0017718D" w:rsidRPr="00971124">
        <w:rPr>
          <w:szCs w:val="24"/>
        </w:rPr>
        <w:t xml:space="preserve">. </w:t>
      </w:r>
      <w:r w:rsidR="00971124">
        <w:rPr>
          <w:szCs w:val="24"/>
        </w:rPr>
        <w:t>1 (</w:t>
      </w:r>
      <w:r w:rsidR="0017718D" w:rsidRPr="00F3114C">
        <w:rPr>
          <w:szCs w:val="24"/>
        </w:rPr>
        <w:t>2006</w:t>
      </w:r>
      <w:r w:rsidR="00971124">
        <w:rPr>
          <w:szCs w:val="24"/>
        </w:rPr>
        <w:t>)</w:t>
      </w:r>
      <w:r w:rsidR="0017718D" w:rsidRPr="006B21E8">
        <w:rPr>
          <w:szCs w:val="24"/>
        </w:rPr>
        <w:t xml:space="preserve"> 267-273.</w:t>
      </w:r>
    </w:p>
    <w:p w14:paraId="3CE5DC0F" w14:textId="6E34C3DC" w:rsidR="0017718D" w:rsidRPr="00F3114C" w:rsidRDefault="00F3114C">
      <w:pPr>
        <w:pStyle w:val="TFReferencesSection"/>
        <w:numPr>
          <w:ilvl w:val="0"/>
          <w:numId w:val="1"/>
        </w:numPr>
        <w:tabs>
          <w:tab w:val="left" w:pos="851"/>
        </w:tabs>
        <w:rPr>
          <w:szCs w:val="24"/>
        </w:rPr>
      </w:pPr>
      <w:r>
        <w:rPr>
          <w:szCs w:val="24"/>
        </w:rPr>
        <w:t xml:space="preserve">J.E. </w:t>
      </w:r>
      <w:r w:rsidR="0017718D" w:rsidRPr="00F3114C">
        <w:rPr>
          <w:szCs w:val="24"/>
        </w:rPr>
        <w:t xml:space="preserve">Dunford, </w:t>
      </w:r>
      <w:r>
        <w:rPr>
          <w:szCs w:val="24"/>
        </w:rPr>
        <w:t xml:space="preserve">A.A. </w:t>
      </w:r>
      <w:r w:rsidR="0017718D" w:rsidRPr="00F3114C">
        <w:rPr>
          <w:szCs w:val="24"/>
        </w:rPr>
        <w:t xml:space="preserve">Kwaasi, </w:t>
      </w:r>
      <w:r>
        <w:rPr>
          <w:szCs w:val="24"/>
        </w:rPr>
        <w:t xml:space="preserve">M.J. </w:t>
      </w:r>
      <w:r w:rsidR="0017718D" w:rsidRPr="00F3114C">
        <w:rPr>
          <w:szCs w:val="24"/>
        </w:rPr>
        <w:t xml:space="preserve">Rogers, </w:t>
      </w:r>
      <w:r>
        <w:rPr>
          <w:szCs w:val="24"/>
        </w:rPr>
        <w:t xml:space="preserve">B.L. </w:t>
      </w:r>
      <w:r w:rsidR="0017718D" w:rsidRPr="00F3114C">
        <w:rPr>
          <w:szCs w:val="24"/>
        </w:rPr>
        <w:t xml:space="preserve">Barnett, </w:t>
      </w:r>
      <w:r>
        <w:rPr>
          <w:szCs w:val="24"/>
        </w:rPr>
        <w:t xml:space="preserve">F.H. </w:t>
      </w:r>
      <w:r w:rsidR="0017718D" w:rsidRPr="00F3114C">
        <w:rPr>
          <w:szCs w:val="24"/>
        </w:rPr>
        <w:t xml:space="preserve">Ebetino, </w:t>
      </w:r>
      <w:r>
        <w:rPr>
          <w:szCs w:val="24"/>
        </w:rPr>
        <w:t xml:space="preserve">R.G. </w:t>
      </w:r>
      <w:r w:rsidR="0017718D" w:rsidRPr="00F3114C">
        <w:rPr>
          <w:szCs w:val="24"/>
        </w:rPr>
        <w:t xml:space="preserve">Russell, </w:t>
      </w:r>
      <w:r>
        <w:rPr>
          <w:szCs w:val="24"/>
        </w:rPr>
        <w:t xml:space="preserve">U. </w:t>
      </w:r>
      <w:r w:rsidR="0017718D" w:rsidRPr="00F3114C">
        <w:rPr>
          <w:szCs w:val="24"/>
        </w:rPr>
        <w:t xml:space="preserve">Oppermann, </w:t>
      </w:r>
      <w:r>
        <w:rPr>
          <w:szCs w:val="24"/>
        </w:rPr>
        <w:t xml:space="preserve">K.L. </w:t>
      </w:r>
      <w:r w:rsidR="0017718D" w:rsidRPr="00F3114C">
        <w:rPr>
          <w:szCs w:val="24"/>
        </w:rPr>
        <w:t>Kavanagh, Structure-activity relationships among the nitrogen containing bisphosphonates in clinical use and other analogues: time-dependent inhibition of human farnesyl pyrophosphate synthase</w:t>
      </w:r>
      <w:r>
        <w:rPr>
          <w:szCs w:val="24"/>
        </w:rPr>
        <w:t>,</w:t>
      </w:r>
      <w:r w:rsidRPr="00F3114C">
        <w:rPr>
          <w:szCs w:val="24"/>
        </w:rPr>
        <w:t xml:space="preserve"> </w:t>
      </w:r>
      <w:r w:rsidR="0017718D" w:rsidRPr="00F3114C">
        <w:rPr>
          <w:szCs w:val="24"/>
        </w:rPr>
        <w:t xml:space="preserve">J. Med. Chem. </w:t>
      </w:r>
      <w:r>
        <w:rPr>
          <w:szCs w:val="24"/>
        </w:rPr>
        <w:t>51 (</w:t>
      </w:r>
      <w:r w:rsidR="0017718D" w:rsidRPr="00F3114C">
        <w:rPr>
          <w:szCs w:val="24"/>
        </w:rPr>
        <w:t>2008</w:t>
      </w:r>
      <w:r>
        <w:rPr>
          <w:szCs w:val="24"/>
        </w:rPr>
        <w:t>)</w:t>
      </w:r>
      <w:r w:rsidR="0017718D" w:rsidRPr="00F3114C">
        <w:rPr>
          <w:szCs w:val="24"/>
        </w:rPr>
        <w:t xml:space="preserve"> 2187–2195.</w:t>
      </w:r>
    </w:p>
    <w:p w14:paraId="5AA77221" w14:textId="029A614A" w:rsidR="0017718D" w:rsidRPr="00644333" w:rsidRDefault="00644333">
      <w:pPr>
        <w:pStyle w:val="TFReferencesSection"/>
        <w:numPr>
          <w:ilvl w:val="0"/>
          <w:numId w:val="1"/>
        </w:numPr>
        <w:tabs>
          <w:tab w:val="left" w:pos="851"/>
        </w:tabs>
        <w:rPr>
          <w:szCs w:val="24"/>
        </w:rPr>
      </w:pPr>
      <w:r>
        <w:rPr>
          <w:szCs w:val="24"/>
        </w:rPr>
        <w:t xml:space="preserve">R.G. </w:t>
      </w:r>
      <w:r w:rsidR="0017718D" w:rsidRPr="00644333">
        <w:rPr>
          <w:szCs w:val="24"/>
        </w:rPr>
        <w:t xml:space="preserve">Russell, </w:t>
      </w:r>
      <w:r>
        <w:rPr>
          <w:szCs w:val="24"/>
        </w:rPr>
        <w:t xml:space="preserve">Z. </w:t>
      </w:r>
      <w:r w:rsidR="0017718D" w:rsidRPr="00644333">
        <w:rPr>
          <w:szCs w:val="24"/>
        </w:rPr>
        <w:t xml:space="preserve">Xia, </w:t>
      </w:r>
      <w:r>
        <w:rPr>
          <w:szCs w:val="24"/>
        </w:rPr>
        <w:t xml:space="preserve">J.E. </w:t>
      </w:r>
      <w:r w:rsidR="0017718D" w:rsidRPr="00644333">
        <w:rPr>
          <w:szCs w:val="24"/>
        </w:rPr>
        <w:t xml:space="preserve">Dunford, </w:t>
      </w:r>
      <w:r>
        <w:rPr>
          <w:szCs w:val="24"/>
        </w:rPr>
        <w:t xml:space="preserve">U. </w:t>
      </w:r>
      <w:r w:rsidR="0017718D" w:rsidRPr="00644333">
        <w:rPr>
          <w:szCs w:val="24"/>
        </w:rPr>
        <w:t xml:space="preserve">Oppermann, </w:t>
      </w:r>
      <w:r>
        <w:rPr>
          <w:szCs w:val="24"/>
        </w:rPr>
        <w:t xml:space="preserve">A. </w:t>
      </w:r>
      <w:r w:rsidR="0017718D" w:rsidRPr="00644333">
        <w:rPr>
          <w:szCs w:val="24"/>
        </w:rPr>
        <w:t xml:space="preserve">Kwaasi, </w:t>
      </w:r>
      <w:r>
        <w:rPr>
          <w:szCs w:val="24"/>
        </w:rPr>
        <w:t xml:space="preserve">P.A. </w:t>
      </w:r>
      <w:r w:rsidR="0017718D" w:rsidRPr="00644333">
        <w:rPr>
          <w:szCs w:val="24"/>
        </w:rPr>
        <w:t xml:space="preserve">Hulley, </w:t>
      </w:r>
      <w:r>
        <w:rPr>
          <w:szCs w:val="24"/>
        </w:rPr>
        <w:t xml:space="preserve">K.L. </w:t>
      </w:r>
      <w:r w:rsidR="0017718D" w:rsidRPr="00644333">
        <w:rPr>
          <w:szCs w:val="24"/>
        </w:rPr>
        <w:t xml:space="preserve">Kavanagh, </w:t>
      </w:r>
      <w:r>
        <w:rPr>
          <w:szCs w:val="24"/>
        </w:rPr>
        <w:t xml:space="preserve">K.T. </w:t>
      </w:r>
      <w:r w:rsidR="0017718D" w:rsidRPr="00644333">
        <w:rPr>
          <w:szCs w:val="24"/>
        </w:rPr>
        <w:t xml:space="preserve">Triffitt, </w:t>
      </w:r>
      <w:r>
        <w:rPr>
          <w:szCs w:val="24"/>
        </w:rPr>
        <w:t xml:space="preserve">M.W. </w:t>
      </w:r>
      <w:r w:rsidR="0017718D" w:rsidRPr="00644333">
        <w:rPr>
          <w:szCs w:val="24"/>
        </w:rPr>
        <w:t xml:space="preserve">Lundy, </w:t>
      </w:r>
      <w:r>
        <w:rPr>
          <w:szCs w:val="24"/>
        </w:rPr>
        <w:t xml:space="preserve">R.K. </w:t>
      </w:r>
      <w:r w:rsidR="0017718D" w:rsidRPr="00644333">
        <w:rPr>
          <w:szCs w:val="24"/>
        </w:rPr>
        <w:t xml:space="preserve">Phipps, </w:t>
      </w:r>
      <w:r>
        <w:rPr>
          <w:szCs w:val="24"/>
        </w:rPr>
        <w:t xml:space="preserve">B.L. </w:t>
      </w:r>
      <w:r w:rsidR="0017718D" w:rsidRPr="00644333">
        <w:rPr>
          <w:szCs w:val="24"/>
        </w:rPr>
        <w:t xml:space="preserve">Barnett, </w:t>
      </w:r>
      <w:r>
        <w:rPr>
          <w:szCs w:val="24"/>
        </w:rPr>
        <w:t xml:space="preserve">F.P. </w:t>
      </w:r>
      <w:r w:rsidR="0017718D" w:rsidRPr="00644333">
        <w:rPr>
          <w:szCs w:val="24"/>
        </w:rPr>
        <w:t xml:space="preserve">Coxon, </w:t>
      </w:r>
      <w:r>
        <w:rPr>
          <w:szCs w:val="24"/>
        </w:rPr>
        <w:t xml:space="preserve">M.J. </w:t>
      </w:r>
      <w:r w:rsidR="0017718D" w:rsidRPr="00644333">
        <w:rPr>
          <w:szCs w:val="24"/>
        </w:rPr>
        <w:t xml:space="preserve">Rogers, </w:t>
      </w:r>
      <w:r>
        <w:rPr>
          <w:szCs w:val="24"/>
        </w:rPr>
        <w:t xml:space="preserve">N.B. </w:t>
      </w:r>
      <w:r w:rsidR="0017718D" w:rsidRPr="00644333">
        <w:rPr>
          <w:szCs w:val="24"/>
        </w:rPr>
        <w:t xml:space="preserve">Watts, </w:t>
      </w:r>
      <w:r>
        <w:rPr>
          <w:szCs w:val="24"/>
        </w:rPr>
        <w:lastRenderedPageBreak/>
        <w:t xml:space="preserve">F.H. </w:t>
      </w:r>
      <w:r w:rsidR="0017718D" w:rsidRPr="00644333">
        <w:rPr>
          <w:szCs w:val="24"/>
        </w:rPr>
        <w:t>Ebetino, Bisphosphonates: an update on mechanisms of action and how these relate to clinical efficacy</w:t>
      </w:r>
      <w:r>
        <w:rPr>
          <w:szCs w:val="24"/>
        </w:rPr>
        <w:t>,</w:t>
      </w:r>
      <w:r w:rsidRPr="00644333">
        <w:rPr>
          <w:szCs w:val="24"/>
        </w:rPr>
        <w:t xml:space="preserve"> </w:t>
      </w:r>
      <w:r w:rsidR="0017718D" w:rsidRPr="00D3503E">
        <w:rPr>
          <w:iCs/>
          <w:szCs w:val="24"/>
        </w:rPr>
        <w:t xml:space="preserve">Ann. N. Y. Acad. Sci. </w:t>
      </w:r>
      <w:r>
        <w:rPr>
          <w:iCs/>
          <w:szCs w:val="24"/>
        </w:rPr>
        <w:t>1117, (</w:t>
      </w:r>
      <w:r w:rsidR="0017718D" w:rsidRPr="00D3503E">
        <w:rPr>
          <w:bCs/>
          <w:szCs w:val="24"/>
        </w:rPr>
        <w:t>2007</w:t>
      </w:r>
      <w:r>
        <w:rPr>
          <w:bCs/>
          <w:szCs w:val="24"/>
        </w:rPr>
        <w:t>)</w:t>
      </w:r>
      <w:r w:rsidR="0017718D" w:rsidRPr="00644333">
        <w:rPr>
          <w:szCs w:val="24"/>
        </w:rPr>
        <w:t xml:space="preserve"> 209-257.</w:t>
      </w:r>
    </w:p>
    <w:p w14:paraId="37C7F024" w14:textId="00D801A6" w:rsidR="002D2013" w:rsidRPr="006432B7" w:rsidRDefault="006432B7">
      <w:pPr>
        <w:pStyle w:val="TFReferencesSection"/>
        <w:numPr>
          <w:ilvl w:val="0"/>
          <w:numId w:val="1"/>
        </w:numPr>
        <w:tabs>
          <w:tab w:val="left" w:pos="851"/>
        </w:tabs>
        <w:rPr>
          <w:szCs w:val="24"/>
        </w:rPr>
      </w:pPr>
      <w:r>
        <w:rPr>
          <w:szCs w:val="24"/>
        </w:rPr>
        <w:t xml:space="preserve">R.G. </w:t>
      </w:r>
      <w:r w:rsidR="0017718D" w:rsidRPr="006432B7">
        <w:rPr>
          <w:szCs w:val="24"/>
        </w:rPr>
        <w:t xml:space="preserve">Russell, </w:t>
      </w:r>
      <w:r>
        <w:rPr>
          <w:szCs w:val="24"/>
        </w:rPr>
        <w:t xml:space="preserve">N.B. </w:t>
      </w:r>
      <w:r w:rsidR="0017718D" w:rsidRPr="006432B7">
        <w:rPr>
          <w:szCs w:val="24"/>
        </w:rPr>
        <w:t xml:space="preserve">Watts, </w:t>
      </w:r>
      <w:r>
        <w:rPr>
          <w:szCs w:val="24"/>
        </w:rPr>
        <w:t xml:space="preserve">F.H. </w:t>
      </w:r>
      <w:r w:rsidR="0017718D" w:rsidRPr="006432B7">
        <w:rPr>
          <w:szCs w:val="24"/>
        </w:rPr>
        <w:t xml:space="preserve">Ebetino, </w:t>
      </w:r>
      <w:r>
        <w:rPr>
          <w:szCs w:val="24"/>
        </w:rPr>
        <w:t xml:space="preserve">M.J. </w:t>
      </w:r>
      <w:r w:rsidR="0017718D" w:rsidRPr="006432B7">
        <w:rPr>
          <w:szCs w:val="24"/>
        </w:rPr>
        <w:t>Rogers, Mechanisms of action of bisphosphonates: similarities and differences and their potential influence on clinical efficacy</w:t>
      </w:r>
      <w:r>
        <w:rPr>
          <w:szCs w:val="24"/>
        </w:rPr>
        <w:t>,</w:t>
      </w:r>
      <w:r w:rsidRPr="006432B7">
        <w:rPr>
          <w:szCs w:val="24"/>
        </w:rPr>
        <w:t xml:space="preserve"> </w:t>
      </w:r>
      <w:r w:rsidR="0017718D" w:rsidRPr="003931DF">
        <w:rPr>
          <w:iCs/>
          <w:szCs w:val="24"/>
        </w:rPr>
        <w:t xml:space="preserve">Osteoporos. Int. </w:t>
      </w:r>
      <w:r>
        <w:rPr>
          <w:iCs/>
          <w:szCs w:val="24"/>
        </w:rPr>
        <w:t>19 (</w:t>
      </w:r>
      <w:r w:rsidR="0017718D" w:rsidRPr="003931DF">
        <w:rPr>
          <w:bCs/>
          <w:szCs w:val="24"/>
        </w:rPr>
        <w:t>2008</w:t>
      </w:r>
      <w:r>
        <w:rPr>
          <w:bCs/>
          <w:szCs w:val="24"/>
        </w:rPr>
        <w:t>)</w:t>
      </w:r>
      <w:r w:rsidR="0017718D" w:rsidRPr="006432B7">
        <w:rPr>
          <w:szCs w:val="24"/>
        </w:rPr>
        <w:t xml:space="preserve"> 733-759.</w:t>
      </w:r>
    </w:p>
    <w:p w14:paraId="411DF8B6" w14:textId="1388859F" w:rsidR="009C3EE6" w:rsidRPr="00F5511C" w:rsidRDefault="00F5511C">
      <w:pPr>
        <w:pStyle w:val="TFReferencesSection"/>
        <w:numPr>
          <w:ilvl w:val="0"/>
          <w:numId w:val="1"/>
        </w:numPr>
        <w:tabs>
          <w:tab w:val="left" w:pos="851"/>
        </w:tabs>
        <w:rPr>
          <w:szCs w:val="24"/>
        </w:rPr>
      </w:pPr>
      <w:r>
        <w:rPr>
          <w:szCs w:val="24"/>
        </w:rPr>
        <w:t xml:space="preserve">F. </w:t>
      </w:r>
      <w:r w:rsidR="009C3EE6" w:rsidRPr="00F5511C">
        <w:rPr>
          <w:szCs w:val="24"/>
        </w:rPr>
        <w:t xml:space="preserve">Yin, </w:t>
      </w:r>
      <w:r>
        <w:rPr>
          <w:szCs w:val="24"/>
        </w:rPr>
        <w:t xml:space="preserve">R. </w:t>
      </w:r>
      <w:r w:rsidR="009C3EE6" w:rsidRPr="00F5511C">
        <w:rPr>
          <w:szCs w:val="24"/>
        </w:rPr>
        <w:t xml:space="preserve">Cao, </w:t>
      </w:r>
      <w:r>
        <w:rPr>
          <w:szCs w:val="24"/>
        </w:rPr>
        <w:t xml:space="preserve">A. </w:t>
      </w:r>
      <w:r w:rsidR="009C3EE6" w:rsidRPr="00F5511C">
        <w:rPr>
          <w:szCs w:val="24"/>
        </w:rPr>
        <w:t xml:space="preserve">Goddard, </w:t>
      </w:r>
      <w:r>
        <w:rPr>
          <w:szCs w:val="24"/>
        </w:rPr>
        <w:t xml:space="preserve">Y. </w:t>
      </w:r>
      <w:r w:rsidR="009C3EE6" w:rsidRPr="00F5511C">
        <w:rPr>
          <w:szCs w:val="24"/>
        </w:rPr>
        <w:t xml:space="preserve">Zhang, </w:t>
      </w:r>
      <w:r>
        <w:rPr>
          <w:szCs w:val="24"/>
        </w:rPr>
        <w:t xml:space="preserve">E. </w:t>
      </w:r>
      <w:r w:rsidR="009C3EE6" w:rsidRPr="00F5511C">
        <w:rPr>
          <w:szCs w:val="24"/>
        </w:rPr>
        <w:t>Oldfield, Enthalpy versus entropy-driven binding of bisphosphonates to farnesyl diphosphate synthase</w:t>
      </w:r>
      <w:r>
        <w:rPr>
          <w:szCs w:val="24"/>
        </w:rPr>
        <w:t>,</w:t>
      </w:r>
      <w:r w:rsidRPr="00F5511C">
        <w:rPr>
          <w:szCs w:val="24"/>
        </w:rPr>
        <w:t xml:space="preserve"> </w:t>
      </w:r>
      <w:r w:rsidR="009C3EE6" w:rsidRPr="00271130">
        <w:rPr>
          <w:iCs/>
          <w:szCs w:val="24"/>
        </w:rPr>
        <w:t xml:space="preserve">J. Am. Chem. Soc. </w:t>
      </w:r>
      <w:r>
        <w:rPr>
          <w:iCs/>
          <w:szCs w:val="24"/>
        </w:rPr>
        <w:t>128 (</w:t>
      </w:r>
      <w:r w:rsidR="009C3EE6" w:rsidRPr="00271130">
        <w:rPr>
          <w:bCs/>
          <w:szCs w:val="24"/>
        </w:rPr>
        <w:t>2006</w:t>
      </w:r>
      <w:r>
        <w:rPr>
          <w:bCs/>
          <w:szCs w:val="24"/>
        </w:rPr>
        <w:t>)</w:t>
      </w:r>
      <w:r w:rsidR="009C3EE6" w:rsidRPr="00F5511C">
        <w:rPr>
          <w:szCs w:val="24"/>
        </w:rPr>
        <w:t xml:space="preserve"> 3524–3525.</w:t>
      </w:r>
    </w:p>
    <w:p w14:paraId="3A46FDE8" w14:textId="0A8481D7" w:rsidR="00C33792" w:rsidRPr="000E2276" w:rsidRDefault="000E2276">
      <w:pPr>
        <w:pStyle w:val="TFReferencesSection"/>
        <w:numPr>
          <w:ilvl w:val="0"/>
          <w:numId w:val="1"/>
        </w:numPr>
        <w:tabs>
          <w:tab w:val="left" w:pos="851"/>
        </w:tabs>
        <w:rPr>
          <w:szCs w:val="24"/>
        </w:rPr>
      </w:pPr>
      <w:r>
        <w:rPr>
          <w:szCs w:val="24"/>
        </w:rPr>
        <w:t xml:space="preserve">K. </w:t>
      </w:r>
      <w:r w:rsidR="00C33792" w:rsidRPr="000E2276">
        <w:rPr>
          <w:szCs w:val="24"/>
        </w:rPr>
        <w:t xml:space="preserve">Ohno, </w:t>
      </w:r>
      <w:r>
        <w:rPr>
          <w:szCs w:val="24"/>
        </w:rPr>
        <w:t xml:space="preserve">K. </w:t>
      </w:r>
      <w:r w:rsidR="00C33792" w:rsidRPr="000E2276">
        <w:rPr>
          <w:szCs w:val="24"/>
        </w:rPr>
        <w:t xml:space="preserve">Mori, </w:t>
      </w:r>
      <w:r>
        <w:rPr>
          <w:szCs w:val="24"/>
        </w:rPr>
        <w:t xml:space="preserve">M. </w:t>
      </w:r>
      <w:r w:rsidR="00C33792" w:rsidRPr="000E2276">
        <w:rPr>
          <w:szCs w:val="24"/>
        </w:rPr>
        <w:t xml:space="preserve">Orita, </w:t>
      </w:r>
      <w:r>
        <w:rPr>
          <w:szCs w:val="24"/>
        </w:rPr>
        <w:t xml:space="preserve">M. </w:t>
      </w:r>
      <w:r w:rsidR="00C33792" w:rsidRPr="000E2276">
        <w:rPr>
          <w:szCs w:val="24"/>
        </w:rPr>
        <w:t>Takeuchi, Computational insights into binding of bisphosphates to farnesyl pyrophosphate synthase</w:t>
      </w:r>
      <w:r>
        <w:rPr>
          <w:szCs w:val="24"/>
        </w:rPr>
        <w:t>,</w:t>
      </w:r>
      <w:r w:rsidRPr="000E2276">
        <w:rPr>
          <w:szCs w:val="24"/>
        </w:rPr>
        <w:t xml:space="preserve"> </w:t>
      </w:r>
      <w:r w:rsidR="00C33792" w:rsidRPr="000E2276">
        <w:rPr>
          <w:iCs/>
          <w:szCs w:val="24"/>
        </w:rPr>
        <w:t xml:space="preserve">Curr. Med. Chem. </w:t>
      </w:r>
      <w:r>
        <w:rPr>
          <w:iCs/>
          <w:szCs w:val="24"/>
        </w:rPr>
        <w:t>18 (</w:t>
      </w:r>
      <w:r w:rsidR="00C33792" w:rsidRPr="000E2276">
        <w:rPr>
          <w:szCs w:val="24"/>
        </w:rPr>
        <w:t>2011</w:t>
      </w:r>
      <w:r>
        <w:rPr>
          <w:szCs w:val="24"/>
        </w:rPr>
        <w:t>)</w:t>
      </w:r>
      <w:r w:rsidR="00C33792" w:rsidRPr="000E2276">
        <w:rPr>
          <w:i/>
          <w:iCs/>
          <w:szCs w:val="24"/>
        </w:rPr>
        <w:t xml:space="preserve"> </w:t>
      </w:r>
      <w:r w:rsidR="00C33792" w:rsidRPr="000E2276">
        <w:rPr>
          <w:szCs w:val="24"/>
        </w:rPr>
        <w:t>220-233.</w:t>
      </w:r>
    </w:p>
    <w:p w14:paraId="76E229C3" w14:textId="6EDED23D" w:rsidR="00C33792" w:rsidRPr="006A6457" w:rsidRDefault="00B05962">
      <w:pPr>
        <w:pStyle w:val="TFReferencesSection"/>
        <w:numPr>
          <w:ilvl w:val="0"/>
          <w:numId w:val="1"/>
        </w:numPr>
        <w:tabs>
          <w:tab w:val="left" w:pos="851"/>
        </w:tabs>
        <w:rPr>
          <w:szCs w:val="24"/>
        </w:rPr>
      </w:pPr>
      <w:r>
        <w:rPr>
          <w:szCs w:val="24"/>
        </w:rPr>
        <w:t xml:space="preserve">G.R. </w:t>
      </w:r>
      <w:r w:rsidR="005E33AD" w:rsidRPr="00D85C4C">
        <w:rPr>
          <w:szCs w:val="24"/>
        </w:rPr>
        <w:t xml:space="preserve">Kieczykowski, </w:t>
      </w:r>
      <w:r w:rsidR="00DD0F9B">
        <w:rPr>
          <w:szCs w:val="24"/>
        </w:rPr>
        <w:t xml:space="preserve">R.B. </w:t>
      </w:r>
      <w:r w:rsidR="005E33AD" w:rsidRPr="00D85C4C">
        <w:rPr>
          <w:szCs w:val="24"/>
        </w:rPr>
        <w:t xml:space="preserve">Jobson, </w:t>
      </w:r>
      <w:r w:rsidR="00DD0F9B">
        <w:rPr>
          <w:szCs w:val="24"/>
        </w:rPr>
        <w:t xml:space="preserve">D.G. </w:t>
      </w:r>
      <w:r w:rsidR="005E33AD" w:rsidRPr="00D85C4C">
        <w:rPr>
          <w:szCs w:val="24"/>
        </w:rPr>
        <w:t xml:space="preserve">Melillo, </w:t>
      </w:r>
      <w:r w:rsidR="00DD0F9B">
        <w:rPr>
          <w:szCs w:val="24"/>
        </w:rPr>
        <w:t xml:space="preserve">D.F. </w:t>
      </w:r>
      <w:r w:rsidR="005E33AD" w:rsidRPr="00D85C4C">
        <w:rPr>
          <w:szCs w:val="24"/>
        </w:rPr>
        <w:t xml:space="preserve">Reinhold, </w:t>
      </w:r>
      <w:r w:rsidR="00DD0F9B">
        <w:rPr>
          <w:szCs w:val="24"/>
        </w:rPr>
        <w:t xml:space="preserve">V.J. </w:t>
      </w:r>
      <w:r w:rsidR="005E33AD" w:rsidRPr="00D85C4C">
        <w:rPr>
          <w:szCs w:val="24"/>
        </w:rPr>
        <w:t xml:space="preserve">Grenda, </w:t>
      </w:r>
      <w:r w:rsidR="00DD0F9B">
        <w:rPr>
          <w:szCs w:val="24"/>
        </w:rPr>
        <w:t xml:space="preserve">I, </w:t>
      </w:r>
      <w:r w:rsidR="005E33AD" w:rsidRPr="00D85C4C">
        <w:rPr>
          <w:szCs w:val="24"/>
        </w:rPr>
        <w:t>Shinkai, Preparation of (4-amino-1-hydroxybutylidene)bisphosphonic acid sodium salt, MK-217 (alendronate sodium). An improved procedure for the preparation of 1-hydroxy-1,1-bisphosphonic acids</w:t>
      </w:r>
      <w:r w:rsidR="00DD0F9B">
        <w:rPr>
          <w:szCs w:val="24"/>
        </w:rPr>
        <w:t>,</w:t>
      </w:r>
      <w:r w:rsidR="00DD0F9B" w:rsidRPr="00D85C4C">
        <w:rPr>
          <w:szCs w:val="24"/>
        </w:rPr>
        <w:t xml:space="preserve"> </w:t>
      </w:r>
      <w:r w:rsidR="005E33AD" w:rsidRPr="00C101CA">
        <w:rPr>
          <w:szCs w:val="24"/>
        </w:rPr>
        <w:t>J.Org. Chem</w:t>
      </w:r>
      <w:r w:rsidR="005E33AD" w:rsidRPr="00DD0F9B">
        <w:rPr>
          <w:szCs w:val="24"/>
        </w:rPr>
        <w:t xml:space="preserve">. </w:t>
      </w:r>
      <w:r w:rsidR="00DD0F9B">
        <w:rPr>
          <w:szCs w:val="24"/>
        </w:rPr>
        <w:t>60 (</w:t>
      </w:r>
      <w:r w:rsidR="005E33AD" w:rsidRPr="00C101CA">
        <w:rPr>
          <w:szCs w:val="24"/>
        </w:rPr>
        <w:t>1995</w:t>
      </w:r>
      <w:r w:rsidR="00DD0F9B">
        <w:rPr>
          <w:szCs w:val="24"/>
        </w:rPr>
        <w:t>)</w:t>
      </w:r>
      <w:r w:rsidR="005E33AD" w:rsidRPr="00D85C4C">
        <w:rPr>
          <w:szCs w:val="24"/>
        </w:rPr>
        <w:t xml:space="preserve"> 8310 -8312.</w:t>
      </w:r>
    </w:p>
    <w:p w14:paraId="21F31FEB" w14:textId="45F35B6B" w:rsidR="009E472F" w:rsidRPr="00C101CA" w:rsidRDefault="00C101CA">
      <w:pPr>
        <w:pStyle w:val="TFReferencesSection"/>
        <w:numPr>
          <w:ilvl w:val="0"/>
          <w:numId w:val="1"/>
        </w:numPr>
        <w:tabs>
          <w:tab w:val="left" w:pos="851"/>
        </w:tabs>
        <w:rPr>
          <w:szCs w:val="24"/>
        </w:rPr>
      </w:pPr>
      <w:r>
        <w:rPr>
          <w:szCs w:val="24"/>
        </w:rPr>
        <w:t xml:space="preserve">G. </w:t>
      </w:r>
      <w:r w:rsidR="009E472F" w:rsidRPr="00C101CA">
        <w:rPr>
          <w:szCs w:val="24"/>
        </w:rPr>
        <w:t xml:space="preserve">Jinbo, </w:t>
      </w:r>
      <w:r>
        <w:rPr>
          <w:szCs w:val="24"/>
        </w:rPr>
        <w:t xml:space="preserve">C. </w:t>
      </w:r>
      <w:r w:rsidR="009E472F" w:rsidRPr="00C101CA">
        <w:rPr>
          <w:szCs w:val="24"/>
        </w:rPr>
        <w:t xml:space="preserve">Xiusheng, </w:t>
      </w:r>
      <w:r>
        <w:rPr>
          <w:szCs w:val="24"/>
        </w:rPr>
        <w:t xml:space="preserve">Q. </w:t>
      </w:r>
      <w:r w:rsidR="009E472F" w:rsidRPr="00C101CA">
        <w:rPr>
          <w:szCs w:val="24"/>
        </w:rPr>
        <w:t xml:space="preserve">Yongge, </w:t>
      </w:r>
      <w:r>
        <w:rPr>
          <w:szCs w:val="24"/>
        </w:rPr>
        <w:t xml:space="preserve">W. </w:t>
      </w:r>
      <w:r w:rsidR="009E472F" w:rsidRPr="00C101CA">
        <w:rPr>
          <w:szCs w:val="24"/>
        </w:rPr>
        <w:t xml:space="preserve">Long, </w:t>
      </w:r>
      <w:r>
        <w:rPr>
          <w:szCs w:val="24"/>
        </w:rPr>
        <w:t xml:space="preserve">Q. </w:t>
      </w:r>
      <w:r w:rsidR="009E472F" w:rsidRPr="00C101CA">
        <w:rPr>
          <w:szCs w:val="24"/>
        </w:rPr>
        <w:t xml:space="preserve">Yuqin, </w:t>
      </w:r>
      <w:r>
        <w:rPr>
          <w:szCs w:val="24"/>
        </w:rPr>
        <w:t xml:space="preserve">W. </w:t>
      </w:r>
      <w:r w:rsidR="009E472F" w:rsidRPr="00C101CA">
        <w:rPr>
          <w:szCs w:val="24"/>
        </w:rPr>
        <w:t xml:space="preserve">Jiasheng, </w:t>
      </w:r>
      <w:r>
        <w:rPr>
          <w:szCs w:val="24"/>
        </w:rPr>
        <w:t xml:space="preserve">L. </w:t>
      </w:r>
      <w:r w:rsidR="009E472F" w:rsidRPr="00C101CA">
        <w:rPr>
          <w:szCs w:val="24"/>
        </w:rPr>
        <w:t>Ding, Discovery of potent inhibitor for farnesyl pyrophosphate synthase in the mevalonate pathway</w:t>
      </w:r>
      <w:r>
        <w:rPr>
          <w:szCs w:val="24"/>
        </w:rPr>
        <w:t>,</w:t>
      </w:r>
      <w:r w:rsidRPr="00C101CA">
        <w:rPr>
          <w:szCs w:val="24"/>
        </w:rPr>
        <w:t xml:space="preserve"> </w:t>
      </w:r>
      <w:r w:rsidR="009E472F" w:rsidRPr="003A7199">
        <w:rPr>
          <w:iCs/>
          <w:szCs w:val="24"/>
        </w:rPr>
        <w:t xml:space="preserve">Chem. Commun. </w:t>
      </w:r>
      <w:r>
        <w:rPr>
          <w:iCs/>
          <w:szCs w:val="24"/>
        </w:rPr>
        <w:t>46 (</w:t>
      </w:r>
      <w:r w:rsidR="009E472F" w:rsidRPr="003A7199">
        <w:rPr>
          <w:szCs w:val="24"/>
        </w:rPr>
        <w:t>2010</w:t>
      </w:r>
      <w:r>
        <w:rPr>
          <w:szCs w:val="24"/>
        </w:rPr>
        <w:t>)</w:t>
      </w:r>
      <w:r w:rsidR="009E472F" w:rsidRPr="00C101CA">
        <w:rPr>
          <w:szCs w:val="24"/>
        </w:rPr>
        <w:t xml:space="preserve"> 5340–5342.</w:t>
      </w:r>
    </w:p>
    <w:p w14:paraId="45923BEC" w14:textId="4D8BBDC3" w:rsidR="00F71B98" w:rsidRPr="00EC70D8" w:rsidRDefault="00EC70D8">
      <w:pPr>
        <w:pStyle w:val="TFReferencesSection"/>
        <w:numPr>
          <w:ilvl w:val="0"/>
          <w:numId w:val="1"/>
        </w:numPr>
        <w:tabs>
          <w:tab w:val="left" w:pos="851"/>
        </w:tabs>
        <w:rPr>
          <w:szCs w:val="24"/>
        </w:rPr>
      </w:pPr>
      <w:r>
        <w:rPr>
          <w:bCs/>
          <w:szCs w:val="24"/>
        </w:rPr>
        <w:t xml:space="preserve">J.E. </w:t>
      </w:r>
      <w:r w:rsidR="00F71B98" w:rsidRPr="00EC70D8">
        <w:rPr>
          <w:bCs/>
          <w:szCs w:val="24"/>
        </w:rPr>
        <w:t xml:space="preserve">Dunford, </w:t>
      </w:r>
      <w:r>
        <w:rPr>
          <w:bCs/>
          <w:szCs w:val="24"/>
        </w:rPr>
        <w:t xml:space="preserve">K. </w:t>
      </w:r>
      <w:r w:rsidR="00F71B98" w:rsidRPr="00EC70D8">
        <w:rPr>
          <w:bCs/>
          <w:szCs w:val="24"/>
        </w:rPr>
        <w:t xml:space="preserve">Thompson, </w:t>
      </w:r>
      <w:r>
        <w:rPr>
          <w:bCs/>
          <w:szCs w:val="24"/>
        </w:rPr>
        <w:t xml:space="preserve">F.P. </w:t>
      </w:r>
      <w:r w:rsidR="00F71B98" w:rsidRPr="00EC70D8">
        <w:rPr>
          <w:bCs/>
          <w:szCs w:val="24"/>
        </w:rPr>
        <w:t xml:space="preserve">Coxon, </w:t>
      </w:r>
      <w:r>
        <w:rPr>
          <w:bCs/>
          <w:szCs w:val="24"/>
        </w:rPr>
        <w:t xml:space="preserve">S.P. </w:t>
      </w:r>
      <w:r w:rsidR="00F71B98" w:rsidRPr="00EC70D8">
        <w:rPr>
          <w:bCs/>
          <w:szCs w:val="24"/>
        </w:rPr>
        <w:t xml:space="preserve">Luckman, </w:t>
      </w:r>
      <w:r>
        <w:rPr>
          <w:bCs/>
          <w:szCs w:val="24"/>
        </w:rPr>
        <w:t xml:space="preserve">F.M. </w:t>
      </w:r>
      <w:r w:rsidR="00F71B98" w:rsidRPr="00EC70D8">
        <w:rPr>
          <w:bCs/>
          <w:szCs w:val="24"/>
        </w:rPr>
        <w:t xml:space="preserve">Hahn, </w:t>
      </w:r>
      <w:r>
        <w:rPr>
          <w:bCs/>
          <w:szCs w:val="24"/>
        </w:rPr>
        <w:t xml:space="preserve">C.D. </w:t>
      </w:r>
      <w:r w:rsidR="00F71B98" w:rsidRPr="00EC70D8">
        <w:rPr>
          <w:bCs/>
          <w:szCs w:val="24"/>
        </w:rPr>
        <w:t xml:space="preserve">Poulter, </w:t>
      </w:r>
      <w:r>
        <w:rPr>
          <w:bCs/>
          <w:szCs w:val="24"/>
        </w:rPr>
        <w:t xml:space="preserve">F.H. </w:t>
      </w:r>
      <w:r w:rsidR="00F71B98" w:rsidRPr="00EC70D8">
        <w:rPr>
          <w:bCs/>
          <w:szCs w:val="24"/>
        </w:rPr>
        <w:t xml:space="preserve">Ebetino, </w:t>
      </w:r>
      <w:r>
        <w:rPr>
          <w:bCs/>
          <w:szCs w:val="24"/>
        </w:rPr>
        <w:t xml:space="preserve">M.J. </w:t>
      </w:r>
      <w:r w:rsidR="00F71B98" w:rsidRPr="00EC70D8">
        <w:rPr>
          <w:bCs/>
          <w:szCs w:val="24"/>
        </w:rPr>
        <w:t>Rogers. Structure-Activity Relationships for Inhibition of Farnesyl Diphosphate Synthase in Vitro and Inhibition of Bone Resorption in Vivo by Nitrogen-Containing Bisphosphonates</w:t>
      </w:r>
      <w:r>
        <w:rPr>
          <w:bCs/>
          <w:szCs w:val="24"/>
        </w:rPr>
        <w:t>,</w:t>
      </w:r>
      <w:r w:rsidRPr="00EC70D8">
        <w:rPr>
          <w:bCs/>
          <w:szCs w:val="24"/>
        </w:rPr>
        <w:t xml:space="preserve"> </w:t>
      </w:r>
      <w:r w:rsidR="00F71B98" w:rsidRPr="000467EF">
        <w:rPr>
          <w:bCs/>
          <w:szCs w:val="24"/>
        </w:rPr>
        <w:t xml:space="preserve">J. Pharmacol. Exp. Ther. </w:t>
      </w:r>
      <w:r>
        <w:rPr>
          <w:bCs/>
          <w:szCs w:val="24"/>
        </w:rPr>
        <w:t>296 (</w:t>
      </w:r>
      <w:r w:rsidR="00F71B98" w:rsidRPr="000467EF">
        <w:rPr>
          <w:bCs/>
          <w:szCs w:val="24"/>
        </w:rPr>
        <w:t>2001</w:t>
      </w:r>
      <w:r>
        <w:rPr>
          <w:bCs/>
          <w:szCs w:val="24"/>
        </w:rPr>
        <w:t>)</w:t>
      </w:r>
      <w:r w:rsidR="00F71B98" w:rsidRPr="00EC70D8">
        <w:rPr>
          <w:bCs/>
          <w:szCs w:val="24"/>
        </w:rPr>
        <w:t xml:space="preserve"> 235–242.</w:t>
      </w:r>
    </w:p>
    <w:p w14:paraId="683C67DC" w14:textId="04DD4AB4" w:rsidR="00F71B98" w:rsidRPr="003149C2" w:rsidRDefault="003149C2">
      <w:pPr>
        <w:pStyle w:val="TFReferencesSection"/>
        <w:numPr>
          <w:ilvl w:val="0"/>
          <w:numId w:val="1"/>
        </w:numPr>
        <w:tabs>
          <w:tab w:val="left" w:pos="851"/>
        </w:tabs>
        <w:rPr>
          <w:szCs w:val="24"/>
        </w:rPr>
      </w:pPr>
      <w:r>
        <w:rPr>
          <w:bCs/>
          <w:szCs w:val="24"/>
        </w:rPr>
        <w:t xml:space="preserve">J.K. </w:t>
      </w:r>
      <w:r w:rsidR="00F71B98" w:rsidRPr="003149C2">
        <w:rPr>
          <w:bCs/>
          <w:szCs w:val="24"/>
        </w:rPr>
        <w:t xml:space="preserve">Dozier, </w:t>
      </w:r>
      <w:r>
        <w:rPr>
          <w:szCs w:val="24"/>
        </w:rPr>
        <w:t xml:space="preserve">M. </w:t>
      </w:r>
      <w:r w:rsidR="00F71B98" w:rsidRPr="003149C2">
        <w:rPr>
          <w:bCs/>
          <w:szCs w:val="24"/>
        </w:rPr>
        <w:t>Distefano, An enzyme-coupled continuous fluorescence assay for farnesyl diphosphate synthases</w:t>
      </w:r>
      <w:r>
        <w:rPr>
          <w:bCs/>
          <w:szCs w:val="24"/>
        </w:rPr>
        <w:t>,</w:t>
      </w:r>
      <w:r w:rsidRPr="003149C2">
        <w:rPr>
          <w:bCs/>
          <w:szCs w:val="24"/>
        </w:rPr>
        <w:t xml:space="preserve"> </w:t>
      </w:r>
      <w:r w:rsidR="00F71B98" w:rsidRPr="007E28FA">
        <w:rPr>
          <w:bCs/>
          <w:szCs w:val="24"/>
        </w:rPr>
        <w:t>Anal. Biochem.</w:t>
      </w:r>
      <w:r w:rsidR="00F71B98" w:rsidRPr="003149C2">
        <w:rPr>
          <w:bCs/>
          <w:szCs w:val="24"/>
        </w:rPr>
        <w:t xml:space="preserve"> </w:t>
      </w:r>
      <w:r>
        <w:rPr>
          <w:bCs/>
          <w:szCs w:val="24"/>
        </w:rPr>
        <w:t>421 (</w:t>
      </w:r>
      <w:r w:rsidR="00F71B98" w:rsidRPr="007E28FA">
        <w:rPr>
          <w:bCs/>
          <w:szCs w:val="24"/>
        </w:rPr>
        <w:t>2012</w:t>
      </w:r>
      <w:r>
        <w:rPr>
          <w:bCs/>
          <w:szCs w:val="24"/>
        </w:rPr>
        <w:t>)</w:t>
      </w:r>
      <w:r w:rsidR="00F71B98" w:rsidRPr="003149C2">
        <w:rPr>
          <w:bCs/>
          <w:szCs w:val="24"/>
        </w:rPr>
        <w:t xml:space="preserve"> 158–163.</w:t>
      </w:r>
    </w:p>
    <w:p w14:paraId="2D4C70B8" w14:textId="50FAE77E" w:rsidR="006C518C" w:rsidRPr="007E28FA" w:rsidRDefault="007E28FA">
      <w:pPr>
        <w:pStyle w:val="TFReferencesSection"/>
        <w:numPr>
          <w:ilvl w:val="0"/>
          <w:numId w:val="1"/>
        </w:numPr>
        <w:tabs>
          <w:tab w:val="left" w:pos="851"/>
        </w:tabs>
        <w:rPr>
          <w:szCs w:val="24"/>
        </w:rPr>
      </w:pPr>
      <w:r>
        <w:rPr>
          <w:szCs w:val="24"/>
        </w:rPr>
        <w:lastRenderedPageBreak/>
        <w:t xml:space="preserve">C.M. </w:t>
      </w:r>
      <w:r w:rsidR="006C518C" w:rsidRPr="007E28FA">
        <w:rPr>
          <w:szCs w:val="24"/>
        </w:rPr>
        <w:t xml:space="preserve">Szabo, </w:t>
      </w:r>
      <w:r>
        <w:rPr>
          <w:szCs w:val="24"/>
        </w:rPr>
        <w:t xml:space="preserve">Y. </w:t>
      </w:r>
      <w:r w:rsidR="006C518C" w:rsidRPr="007E28FA">
        <w:rPr>
          <w:szCs w:val="24"/>
        </w:rPr>
        <w:t xml:space="preserve">Matsumura, </w:t>
      </w:r>
      <w:r>
        <w:rPr>
          <w:szCs w:val="24"/>
        </w:rPr>
        <w:t xml:space="preserve">S. </w:t>
      </w:r>
      <w:r w:rsidR="006C518C" w:rsidRPr="007E28FA">
        <w:rPr>
          <w:szCs w:val="24"/>
        </w:rPr>
        <w:t>Fukura,</w:t>
      </w:r>
      <w:r w:rsidR="00081B2A" w:rsidRPr="007E28FA">
        <w:rPr>
          <w:szCs w:val="24"/>
        </w:rPr>
        <w:t xml:space="preserve"> </w:t>
      </w:r>
      <w:r>
        <w:rPr>
          <w:szCs w:val="24"/>
        </w:rPr>
        <w:t xml:space="preserve">M.B. </w:t>
      </w:r>
      <w:r w:rsidR="006C518C" w:rsidRPr="007E28FA">
        <w:rPr>
          <w:szCs w:val="24"/>
        </w:rPr>
        <w:t xml:space="preserve">Martin, </w:t>
      </w:r>
      <w:r>
        <w:rPr>
          <w:szCs w:val="24"/>
        </w:rPr>
        <w:t xml:space="preserve">J.M. </w:t>
      </w:r>
      <w:r w:rsidR="006C518C" w:rsidRPr="007E28FA">
        <w:rPr>
          <w:szCs w:val="24"/>
        </w:rPr>
        <w:t xml:space="preserve">Sanders, </w:t>
      </w:r>
      <w:r>
        <w:rPr>
          <w:szCs w:val="24"/>
        </w:rPr>
        <w:t xml:space="preserve">S. </w:t>
      </w:r>
      <w:r w:rsidR="006C518C" w:rsidRPr="007E28FA">
        <w:rPr>
          <w:szCs w:val="24"/>
        </w:rPr>
        <w:t xml:space="preserve">Sengupta, </w:t>
      </w:r>
      <w:r>
        <w:rPr>
          <w:szCs w:val="24"/>
        </w:rPr>
        <w:t xml:space="preserve">J.A. </w:t>
      </w:r>
      <w:r w:rsidR="006C518C" w:rsidRPr="007E28FA">
        <w:rPr>
          <w:szCs w:val="24"/>
        </w:rPr>
        <w:t xml:space="preserve">Cieslak, </w:t>
      </w:r>
      <w:r>
        <w:rPr>
          <w:szCs w:val="24"/>
        </w:rPr>
        <w:t xml:space="preserve">T.C. </w:t>
      </w:r>
      <w:r w:rsidR="006C518C" w:rsidRPr="007E28FA">
        <w:rPr>
          <w:szCs w:val="24"/>
        </w:rPr>
        <w:t xml:space="preserve">Loftus, </w:t>
      </w:r>
      <w:r>
        <w:rPr>
          <w:szCs w:val="24"/>
        </w:rPr>
        <w:t xml:space="preserve">C.R. </w:t>
      </w:r>
      <w:r w:rsidR="006C518C" w:rsidRPr="007E28FA">
        <w:rPr>
          <w:szCs w:val="24"/>
        </w:rPr>
        <w:t xml:space="preserve">Lea, </w:t>
      </w:r>
      <w:r>
        <w:rPr>
          <w:szCs w:val="24"/>
        </w:rPr>
        <w:t xml:space="preserve">H.L. </w:t>
      </w:r>
      <w:r w:rsidR="006C518C" w:rsidRPr="007E28FA">
        <w:rPr>
          <w:szCs w:val="24"/>
        </w:rPr>
        <w:t xml:space="preserve">Lee, </w:t>
      </w:r>
      <w:r>
        <w:rPr>
          <w:szCs w:val="24"/>
        </w:rPr>
        <w:t xml:space="preserve">A. </w:t>
      </w:r>
      <w:r w:rsidR="006C518C" w:rsidRPr="007E28FA">
        <w:rPr>
          <w:szCs w:val="24"/>
        </w:rPr>
        <w:t xml:space="preserve">Koohang, </w:t>
      </w:r>
      <w:r>
        <w:rPr>
          <w:szCs w:val="24"/>
        </w:rPr>
        <w:t xml:space="preserve">R.M. </w:t>
      </w:r>
      <w:r w:rsidR="006C518C" w:rsidRPr="007E28FA">
        <w:rPr>
          <w:szCs w:val="24"/>
        </w:rPr>
        <w:t>Coates,</w:t>
      </w:r>
      <w:r>
        <w:rPr>
          <w:szCs w:val="24"/>
        </w:rPr>
        <w:t xml:space="preserve"> H.</w:t>
      </w:r>
      <w:r w:rsidR="006C518C" w:rsidRPr="007E28FA">
        <w:rPr>
          <w:szCs w:val="24"/>
        </w:rPr>
        <w:t xml:space="preserve"> Sagami, Oldfield E. Inhibition of Geranylgeranyl Diphosphate Synthase by Bisphosphonates and Diphosphates: A Potential Route to New Bone Antiresorption and Antiparasitic Agents</w:t>
      </w:r>
      <w:r w:rsidRPr="009516D3">
        <w:rPr>
          <w:szCs w:val="24"/>
        </w:rPr>
        <w:t xml:space="preserve">, </w:t>
      </w:r>
      <w:r w:rsidR="006C518C" w:rsidRPr="009516D3">
        <w:rPr>
          <w:szCs w:val="24"/>
        </w:rPr>
        <w:t>J. Med. Chem.</w:t>
      </w:r>
      <w:r w:rsidR="006C518C" w:rsidRPr="007E28FA">
        <w:rPr>
          <w:szCs w:val="24"/>
        </w:rPr>
        <w:t xml:space="preserve"> </w:t>
      </w:r>
      <w:r>
        <w:rPr>
          <w:szCs w:val="24"/>
        </w:rPr>
        <w:t>45 (</w:t>
      </w:r>
      <w:r w:rsidR="006C518C" w:rsidRPr="009516D3">
        <w:rPr>
          <w:szCs w:val="24"/>
        </w:rPr>
        <w:t>2002</w:t>
      </w:r>
      <w:r>
        <w:rPr>
          <w:szCs w:val="24"/>
        </w:rPr>
        <w:t>)</w:t>
      </w:r>
      <w:r w:rsidR="006C518C" w:rsidRPr="007E28FA">
        <w:rPr>
          <w:szCs w:val="24"/>
        </w:rPr>
        <w:t xml:space="preserve"> 2185-2196.</w:t>
      </w:r>
    </w:p>
    <w:p w14:paraId="0579D0C3" w14:textId="13DC08EF" w:rsidR="006C518C" w:rsidRPr="001D030B" w:rsidRDefault="001D030B">
      <w:pPr>
        <w:pStyle w:val="TFReferencesSection"/>
        <w:numPr>
          <w:ilvl w:val="0"/>
          <w:numId w:val="1"/>
        </w:numPr>
        <w:tabs>
          <w:tab w:val="left" w:pos="851"/>
        </w:tabs>
        <w:rPr>
          <w:szCs w:val="24"/>
        </w:rPr>
      </w:pPr>
      <w:r>
        <w:rPr>
          <w:szCs w:val="24"/>
        </w:rPr>
        <w:t>R</w:t>
      </w:r>
      <w:r w:rsidR="002F6E4C">
        <w:rPr>
          <w:szCs w:val="24"/>
        </w:rPr>
        <w:t>.</w:t>
      </w:r>
      <w:r w:rsidR="00081B2A" w:rsidRPr="001D030B">
        <w:rPr>
          <w:szCs w:val="24"/>
        </w:rPr>
        <w:t xml:space="preserve"> Cao, </w:t>
      </w:r>
      <w:r>
        <w:rPr>
          <w:szCs w:val="24"/>
        </w:rPr>
        <w:t>C.K.</w:t>
      </w:r>
      <w:r w:rsidR="006550A5">
        <w:rPr>
          <w:szCs w:val="24"/>
        </w:rPr>
        <w:t>-</w:t>
      </w:r>
      <w:r>
        <w:rPr>
          <w:szCs w:val="24"/>
        </w:rPr>
        <w:t xml:space="preserve">M. </w:t>
      </w:r>
      <w:r w:rsidR="00081B2A" w:rsidRPr="001D030B">
        <w:rPr>
          <w:szCs w:val="24"/>
        </w:rPr>
        <w:t xml:space="preserve">Chen, </w:t>
      </w:r>
      <w:r w:rsidR="006C518C" w:rsidRPr="001D030B">
        <w:rPr>
          <w:szCs w:val="24"/>
        </w:rPr>
        <w:t>R</w:t>
      </w:r>
      <w:r>
        <w:rPr>
          <w:szCs w:val="24"/>
        </w:rPr>
        <w:t>.</w:t>
      </w:r>
      <w:r w:rsidR="006550A5">
        <w:rPr>
          <w:szCs w:val="24"/>
        </w:rPr>
        <w:t>-</w:t>
      </w:r>
      <w:r w:rsidR="006C518C" w:rsidRPr="001D030B">
        <w:rPr>
          <w:szCs w:val="24"/>
        </w:rPr>
        <w:t>T</w:t>
      </w:r>
      <w:r>
        <w:rPr>
          <w:szCs w:val="24"/>
        </w:rPr>
        <w:t>,</w:t>
      </w:r>
      <w:r w:rsidR="006C518C" w:rsidRPr="001D030B">
        <w:rPr>
          <w:szCs w:val="24"/>
        </w:rPr>
        <w:t xml:space="preserve"> Guo, </w:t>
      </w:r>
      <w:r>
        <w:rPr>
          <w:szCs w:val="24"/>
        </w:rPr>
        <w:t>A.H</w:t>
      </w:r>
      <w:r w:rsidR="00B75310">
        <w:rPr>
          <w:szCs w:val="24"/>
        </w:rPr>
        <w:t xml:space="preserve">-J </w:t>
      </w:r>
      <w:r w:rsidR="006C518C" w:rsidRPr="001D030B">
        <w:rPr>
          <w:szCs w:val="24"/>
        </w:rPr>
        <w:t xml:space="preserve">Wang, </w:t>
      </w:r>
      <w:r w:rsidR="00B75310">
        <w:rPr>
          <w:szCs w:val="24"/>
        </w:rPr>
        <w:t xml:space="preserve">E. </w:t>
      </w:r>
      <w:r w:rsidR="006C518C" w:rsidRPr="001D030B">
        <w:rPr>
          <w:szCs w:val="24"/>
        </w:rPr>
        <w:t>Oldfield, Structures of a Potent Phenylalkyl Bisphosphonate Inhibitor Bound to Farnesyl and Geranylgeranyl Diphosphate Synthases</w:t>
      </w:r>
      <w:r w:rsidR="00B75310">
        <w:rPr>
          <w:szCs w:val="24"/>
        </w:rPr>
        <w:t>,</w:t>
      </w:r>
      <w:r w:rsidR="00B75310" w:rsidRPr="001D030B">
        <w:rPr>
          <w:szCs w:val="24"/>
        </w:rPr>
        <w:t xml:space="preserve"> </w:t>
      </w:r>
      <w:r w:rsidR="006C518C" w:rsidRPr="009516D3">
        <w:rPr>
          <w:iCs/>
          <w:szCs w:val="24"/>
        </w:rPr>
        <w:t>Proteins</w:t>
      </w:r>
      <w:r w:rsidR="006C518C" w:rsidRPr="00B75310">
        <w:rPr>
          <w:szCs w:val="24"/>
        </w:rPr>
        <w:t xml:space="preserve"> </w:t>
      </w:r>
      <w:r w:rsidR="00B75310">
        <w:rPr>
          <w:szCs w:val="24"/>
        </w:rPr>
        <w:t>73 (</w:t>
      </w:r>
      <w:r w:rsidR="006C518C" w:rsidRPr="009516D3">
        <w:rPr>
          <w:szCs w:val="24"/>
        </w:rPr>
        <w:t>2008</w:t>
      </w:r>
      <w:r w:rsidR="00B75310">
        <w:rPr>
          <w:szCs w:val="24"/>
        </w:rPr>
        <w:t>)</w:t>
      </w:r>
      <w:r w:rsidR="006C518C" w:rsidRPr="001D030B">
        <w:rPr>
          <w:szCs w:val="24"/>
        </w:rPr>
        <w:t xml:space="preserve"> 431–439.</w:t>
      </w:r>
    </w:p>
    <w:p w14:paraId="600B2446" w14:textId="45A85472" w:rsidR="006333DA" w:rsidRPr="002F6E4C" w:rsidRDefault="002F6E4C">
      <w:pPr>
        <w:pStyle w:val="TFReferencesSection"/>
        <w:numPr>
          <w:ilvl w:val="0"/>
          <w:numId w:val="1"/>
        </w:numPr>
        <w:tabs>
          <w:tab w:val="left" w:pos="851"/>
        </w:tabs>
        <w:rPr>
          <w:bCs/>
          <w:szCs w:val="24"/>
          <w:lang w:val="it-IT"/>
        </w:rPr>
      </w:pPr>
      <w:r>
        <w:rPr>
          <w:szCs w:val="24"/>
        </w:rPr>
        <w:t xml:space="preserve">A.J. </w:t>
      </w:r>
      <w:r w:rsidR="00081B2A" w:rsidRPr="002F6E4C">
        <w:rPr>
          <w:szCs w:val="24"/>
        </w:rPr>
        <w:t xml:space="preserve">Wiemer, </w:t>
      </w:r>
      <w:r>
        <w:rPr>
          <w:szCs w:val="24"/>
        </w:rPr>
        <w:t xml:space="preserve">H. </w:t>
      </w:r>
      <w:r w:rsidR="00081B2A" w:rsidRPr="002F6E4C">
        <w:rPr>
          <w:szCs w:val="24"/>
        </w:rPr>
        <w:t xml:space="preserve">Tong, </w:t>
      </w:r>
      <w:r>
        <w:rPr>
          <w:szCs w:val="24"/>
        </w:rPr>
        <w:t xml:space="preserve">K.M. </w:t>
      </w:r>
      <w:r w:rsidR="00081B2A" w:rsidRPr="002F6E4C">
        <w:rPr>
          <w:szCs w:val="24"/>
        </w:rPr>
        <w:t xml:space="preserve">Swanson, </w:t>
      </w:r>
      <w:r>
        <w:rPr>
          <w:szCs w:val="24"/>
        </w:rPr>
        <w:t xml:space="preserve">R.J. </w:t>
      </w:r>
      <w:r w:rsidR="00081B2A" w:rsidRPr="002F6E4C">
        <w:rPr>
          <w:szCs w:val="24"/>
        </w:rPr>
        <w:t>Hohl, Digeranyl bisphosphonate inhibits geranylgeranyl pyrophosphate synthase</w:t>
      </w:r>
      <w:r>
        <w:rPr>
          <w:szCs w:val="24"/>
        </w:rPr>
        <w:t>,</w:t>
      </w:r>
      <w:r w:rsidRPr="002F6E4C">
        <w:rPr>
          <w:szCs w:val="24"/>
        </w:rPr>
        <w:t xml:space="preserve"> </w:t>
      </w:r>
      <w:r w:rsidR="00081B2A" w:rsidRPr="00206301">
        <w:rPr>
          <w:szCs w:val="24"/>
        </w:rPr>
        <w:t>Biochem. Biophysic. Res. Comm.</w:t>
      </w:r>
      <w:r w:rsidR="00081B2A" w:rsidRPr="002F6E4C">
        <w:rPr>
          <w:szCs w:val="24"/>
        </w:rPr>
        <w:t xml:space="preserve"> </w:t>
      </w:r>
      <w:r w:rsidRPr="008405C3">
        <w:rPr>
          <w:szCs w:val="24"/>
        </w:rPr>
        <w:t>353 (</w:t>
      </w:r>
      <w:r w:rsidR="00081B2A" w:rsidRPr="008405C3">
        <w:rPr>
          <w:szCs w:val="24"/>
        </w:rPr>
        <w:t>2007</w:t>
      </w:r>
      <w:r w:rsidRPr="008405C3">
        <w:rPr>
          <w:szCs w:val="24"/>
        </w:rPr>
        <w:t>)</w:t>
      </w:r>
      <w:r w:rsidR="00081B2A" w:rsidRPr="002F6E4C">
        <w:rPr>
          <w:szCs w:val="24"/>
        </w:rPr>
        <w:t xml:space="preserve"> 921–925.</w:t>
      </w:r>
    </w:p>
    <w:p w14:paraId="05CBD58E" w14:textId="567170E7" w:rsidR="000929C6" w:rsidRPr="00046D5F" w:rsidRDefault="00046D5F">
      <w:pPr>
        <w:pStyle w:val="TFReferencesSection"/>
        <w:numPr>
          <w:ilvl w:val="0"/>
          <w:numId w:val="1"/>
        </w:numPr>
        <w:tabs>
          <w:tab w:val="left" w:pos="851"/>
        </w:tabs>
        <w:rPr>
          <w:bCs/>
          <w:szCs w:val="24"/>
          <w:lang w:val="it-IT"/>
        </w:rPr>
      </w:pPr>
      <w:r>
        <w:rPr>
          <w:szCs w:val="24"/>
        </w:rPr>
        <w:t xml:space="preserve">A. </w:t>
      </w:r>
      <w:r w:rsidR="000929C6" w:rsidRPr="00046D5F">
        <w:rPr>
          <w:szCs w:val="24"/>
        </w:rPr>
        <w:t xml:space="preserve">Stefanucci, </w:t>
      </w:r>
      <w:r>
        <w:rPr>
          <w:szCs w:val="24"/>
        </w:rPr>
        <w:t xml:space="preserve">A. </w:t>
      </w:r>
      <w:r w:rsidR="000929C6" w:rsidRPr="00046D5F">
        <w:rPr>
          <w:szCs w:val="24"/>
        </w:rPr>
        <w:t xml:space="preserve">Marrone, </w:t>
      </w:r>
      <w:r>
        <w:rPr>
          <w:szCs w:val="24"/>
        </w:rPr>
        <w:t xml:space="preserve">M. </w:t>
      </w:r>
      <w:r w:rsidR="000929C6" w:rsidRPr="00046D5F">
        <w:rPr>
          <w:szCs w:val="24"/>
        </w:rPr>
        <w:t>Agamennone</w:t>
      </w:r>
      <w:r>
        <w:rPr>
          <w:szCs w:val="24"/>
        </w:rPr>
        <w:t>,</w:t>
      </w:r>
      <w:r w:rsidR="000929C6" w:rsidRPr="00046D5F">
        <w:rPr>
          <w:szCs w:val="24"/>
        </w:rPr>
        <w:t xml:space="preserve"> Investigation of the N-BP Binding at FPPS by Combined Computational Approaches</w:t>
      </w:r>
      <w:r>
        <w:rPr>
          <w:szCs w:val="24"/>
        </w:rPr>
        <w:t>,</w:t>
      </w:r>
      <w:r w:rsidR="000929C6" w:rsidRPr="00046D5F">
        <w:rPr>
          <w:szCs w:val="24"/>
        </w:rPr>
        <w:t xml:space="preserve"> </w:t>
      </w:r>
      <w:r w:rsidR="000929C6" w:rsidRPr="00046D5F">
        <w:rPr>
          <w:i/>
          <w:szCs w:val="24"/>
        </w:rPr>
        <w:t>Me</w:t>
      </w:r>
      <w:r w:rsidR="000929C6" w:rsidRPr="00206301">
        <w:rPr>
          <w:szCs w:val="24"/>
        </w:rPr>
        <w:t>d. Chem.</w:t>
      </w:r>
      <w:r w:rsidR="000929C6" w:rsidRPr="00046D5F">
        <w:rPr>
          <w:szCs w:val="24"/>
        </w:rPr>
        <w:t xml:space="preserve"> </w:t>
      </w:r>
      <w:r>
        <w:rPr>
          <w:szCs w:val="24"/>
        </w:rPr>
        <w:t>11 (</w:t>
      </w:r>
      <w:r w:rsidR="000929C6" w:rsidRPr="005C673F">
        <w:rPr>
          <w:szCs w:val="24"/>
        </w:rPr>
        <w:t>2015</w:t>
      </w:r>
      <w:r>
        <w:rPr>
          <w:b/>
          <w:szCs w:val="24"/>
        </w:rPr>
        <w:t>)</w:t>
      </w:r>
      <w:r w:rsidR="000929C6" w:rsidRPr="00046D5F">
        <w:rPr>
          <w:szCs w:val="24"/>
        </w:rPr>
        <w:t xml:space="preserve"> 417-431.</w:t>
      </w:r>
    </w:p>
    <w:p w14:paraId="53F211EC" w14:textId="2E9613CC" w:rsidR="00895B85" w:rsidRPr="006550A5" w:rsidRDefault="00046D5F">
      <w:pPr>
        <w:pStyle w:val="TFReferencesSection"/>
        <w:numPr>
          <w:ilvl w:val="0"/>
          <w:numId w:val="1"/>
        </w:numPr>
        <w:tabs>
          <w:tab w:val="left" w:pos="851"/>
        </w:tabs>
        <w:rPr>
          <w:bCs/>
          <w:szCs w:val="24"/>
          <w:lang w:val="it-IT"/>
        </w:rPr>
      </w:pPr>
      <w:r>
        <w:rPr>
          <w:bCs/>
          <w:szCs w:val="24"/>
        </w:rPr>
        <w:t xml:space="preserve">J. </w:t>
      </w:r>
      <w:r w:rsidR="00895B85" w:rsidRPr="00046D5F">
        <w:rPr>
          <w:bCs/>
          <w:szCs w:val="24"/>
        </w:rPr>
        <w:t xml:space="preserve">Mao, </w:t>
      </w:r>
      <w:r>
        <w:rPr>
          <w:bCs/>
          <w:szCs w:val="24"/>
        </w:rPr>
        <w:t xml:space="preserve">S. </w:t>
      </w:r>
      <w:r w:rsidR="00895B85" w:rsidRPr="00046D5F">
        <w:rPr>
          <w:bCs/>
          <w:szCs w:val="24"/>
        </w:rPr>
        <w:t xml:space="preserve">Mukherjee, </w:t>
      </w:r>
      <w:r>
        <w:rPr>
          <w:bCs/>
          <w:szCs w:val="24"/>
        </w:rPr>
        <w:t xml:space="preserve">Y. </w:t>
      </w:r>
      <w:r w:rsidR="00895B85" w:rsidRPr="00046D5F">
        <w:rPr>
          <w:bCs/>
          <w:szCs w:val="24"/>
        </w:rPr>
        <w:t xml:space="preserve">Zhang, </w:t>
      </w:r>
      <w:r w:rsidR="006550A5">
        <w:rPr>
          <w:bCs/>
          <w:szCs w:val="24"/>
        </w:rPr>
        <w:t xml:space="preserve">R. </w:t>
      </w:r>
      <w:r w:rsidR="00895B85" w:rsidRPr="00046D5F">
        <w:rPr>
          <w:bCs/>
          <w:szCs w:val="24"/>
        </w:rPr>
        <w:t xml:space="preserve">Cao, </w:t>
      </w:r>
      <w:r w:rsidR="006550A5">
        <w:rPr>
          <w:bCs/>
          <w:szCs w:val="24"/>
        </w:rPr>
        <w:t xml:space="preserve">J.M. </w:t>
      </w:r>
      <w:r w:rsidR="00895B85" w:rsidRPr="00046D5F">
        <w:rPr>
          <w:bCs/>
          <w:szCs w:val="24"/>
        </w:rPr>
        <w:t xml:space="preserve">Sanders, </w:t>
      </w:r>
      <w:r w:rsidR="006550A5">
        <w:rPr>
          <w:bCs/>
          <w:szCs w:val="24"/>
        </w:rPr>
        <w:t xml:space="preserve">Y. </w:t>
      </w:r>
      <w:r w:rsidR="00895B85" w:rsidRPr="00046D5F">
        <w:rPr>
          <w:bCs/>
          <w:szCs w:val="24"/>
        </w:rPr>
        <w:t xml:space="preserve">Song, </w:t>
      </w:r>
      <w:r w:rsidR="006550A5">
        <w:rPr>
          <w:bCs/>
          <w:szCs w:val="24"/>
        </w:rPr>
        <w:t xml:space="preserve">Y. </w:t>
      </w:r>
      <w:r w:rsidR="00895B85" w:rsidRPr="00046D5F">
        <w:rPr>
          <w:bCs/>
          <w:szCs w:val="24"/>
        </w:rPr>
        <w:t xml:space="preserve">Zhang, </w:t>
      </w:r>
      <w:r w:rsidR="006550A5">
        <w:rPr>
          <w:bCs/>
          <w:szCs w:val="24"/>
        </w:rPr>
        <w:t xml:space="preserve">G.A. </w:t>
      </w:r>
      <w:r w:rsidR="00895B85" w:rsidRPr="00046D5F">
        <w:rPr>
          <w:bCs/>
          <w:szCs w:val="24"/>
        </w:rPr>
        <w:t xml:space="preserve">Meints, </w:t>
      </w:r>
      <w:r w:rsidR="006550A5">
        <w:rPr>
          <w:bCs/>
          <w:szCs w:val="24"/>
        </w:rPr>
        <w:t xml:space="preserve">Y.G. </w:t>
      </w:r>
      <w:r w:rsidR="00895B85" w:rsidRPr="00046D5F">
        <w:rPr>
          <w:bCs/>
          <w:szCs w:val="24"/>
        </w:rPr>
        <w:t xml:space="preserve">Gao, </w:t>
      </w:r>
      <w:r w:rsidR="006550A5">
        <w:rPr>
          <w:bCs/>
          <w:szCs w:val="24"/>
        </w:rPr>
        <w:t xml:space="preserve">D. </w:t>
      </w:r>
      <w:r w:rsidR="00895B85" w:rsidRPr="00046D5F">
        <w:rPr>
          <w:bCs/>
          <w:szCs w:val="24"/>
        </w:rPr>
        <w:t xml:space="preserve">Mukkamala, </w:t>
      </w:r>
      <w:r w:rsidR="006550A5">
        <w:rPr>
          <w:bCs/>
          <w:szCs w:val="24"/>
        </w:rPr>
        <w:t xml:space="preserve">M.P. </w:t>
      </w:r>
      <w:r w:rsidR="00895B85" w:rsidRPr="00046D5F">
        <w:rPr>
          <w:bCs/>
          <w:szCs w:val="24"/>
        </w:rPr>
        <w:t xml:space="preserve">Hudock, </w:t>
      </w:r>
      <w:r w:rsidR="006550A5">
        <w:rPr>
          <w:bCs/>
          <w:szCs w:val="24"/>
        </w:rPr>
        <w:t xml:space="preserve">E. </w:t>
      </w:r>
      <w:r w:rsidR="00895B85" w:rsidRPr="00046D5F">
        <w:rPr>
          <w:bCs/>
          <w:szCs w:val="24"/>
        </w:rPr>
        <w:t>Oldfield, Solid-state NMR, crystallographic, and computational investigation of bisphosphonates and farnesyl diphos</w:t>
      </w:r>
      <w:r w:rsidR="00895B85" w:rsidRPr="006550A5">
        <w:rPr>
          <w:bCs/>
          <w:szCs w:val="24"/>
        </w:rPr>
        <w:t>phate synthase-bisphosphonate complexes</w:t>
      </w:r>
      <w:r w:rsidR="006550A5">
        <w:rPr>
          <w:bCs/>
          <w:szCs w:val="24"/>
        </w:rPr>
        <w:t>,</w:t>
      </w:r>
      <w:r w:rsidR="00895B85" w:rsidRPr="006550A5">
        <w:rPr>
          <w:bCs/>
          <w:szCs w:val="24"/>
        </w:rPr>
        <w:t xml:space="preserve"> </w:t>
      </w:r>
      <w:r w:rsidR="00895B85" w:rsidRPr="00206301">
        <w:rPr>
          <w:bCs/>
          <w:szCs w:val="24"/>
        </w:rPr>
        <w:t>J. Am. Chem. Soc.</w:t>
      </w:r>
      <w:r w:rsidR="00895B85" w:rsidRPr="006550A5">
        <w:rPr>
          <w:bCs/>
          <w:szCs w:val="24"/>
        </w:rPr>
        <w:t xml:space="preserve"> </w:t>
      </w:r>
      <w:r w:rsidR="006550A5" w:rsidRPr="005C673F">
        <w:rPr>
          <w:bCs/>
          <w:szCs w:val="24"/>
        </w:rPr>
        <w:t>128 (</w:t>
      </w:r>
      <w:r w:rsidR="00895B85" w:rsidRPr="005C673F">
        <w:rPr>
          <w:bCs/>
          <w:szCs w:val="24"/>
        </w:rPr>
        <w:t>2006</w:t>
      </w:r>
      <w:r w:rsidR="006550A5" w:rsidRPr="005C673F">
        <w:rPr>
          <w:bCs/>
          <w:szCs w:val="24"/>
        </w:rPr>
        <w:t>)</w:t>
      </w:r>
      <w:r w:rsidR="00895B85" w:rsidRPr="006550A5">
        <w:rPr>
          <w:bCs/>
          <w:szCs w:val="24"/>
        </w:rPr>
        <w:t xml:space="preserve"> 14485-14497.</w:t>
      </w:r>
    </w:p>
    <w:p w14:paraId="7F96F009" w14:textId="4398E26E" w:rsidR="00893DF6" w:rsidRPr="00206301" w:rsidRDefault="00893DF6">
      <w:pPr>
        <w:pStyle w:val="TFReferencesSection"/>
        <w:numPr>
          <w:ilvl w:val="0"/>
          <w:numId w:val="1"/>
        </w:numPr>
        <w:tabs>
          <w:tab w:val="left" w:pos="851"/>
        </w:tabs>
        <w:rPr>
          <w:bCs/>
          <w:szCs w:val="24"/>
          <w:lang w:val="it-IT"/>
        </w:rPr>
      </w:pPr>
      <w:r w:rsidRPr="00206301">
        <w:rPr>
          <w:szCs w:val="24"/>
        </w:rPr>
        <w:t xml:space="preserve">Kavanagh, K.L.; Dunford, J.E.; Bunkoczi, G.; Graham, R.; Russell, G.; Oppermann, U. The Crystal Structure of Human Geranylgeranyl Pyrophosphate Synthase Reveals a Novel Hexameric Arrangement and Inhibitory Product Binding </w:t>
      </w:r>
      <w:r w:rsidRPr="00206301">
        <w:rPr>
          <w:i/>
          <w:szCs w:val="24"/>
        </w:rPr>
        <w:t>J. Biol. Chem.</w:t>
      </w:r>
      <w:r w:rsidR="005C673F">
        <w:rPr>
          <w:i/>
          <w:szCs w:val="24"/>
        </w:rPr>
        <w:t xml:space="preserve"> </w:t>
      </w:r>
      <w:r w:rsidR="005C673F">
        <w:rPr>
          <w:szCs w:val="24"/>
        </w:rPr>
        <w:t>281</w:t>
      </w:r>
      <w:r w:rsidRPr="00206301">
        <w:rPr>
          <w:szCs w:val="24"/>
        </w:rPr>
        <w:t xml:space="preserve"> </w:t>
      </w:r>
      <w:r w:rsidR="005C673F" w:rsidRPr="005C673F">
        <w:rPr>
          <w:szCs w:val="24"/>
        </w:rPr>
        <w:t>(</w:t>
      </w:r>
      <w:r w:rsidRPr="005C673F">
        <w:rPr>
          <w:szCs w:val="24"/>
        </w:rPr>
        <w:t>2006</w:t>
      </w:r>
      <w:r w:rsidR="005C673F" w:rsidRPr="005C673F">
        <w:rPr>
          <w:szCs w:val="24"/>
        </w:rPr>
        <w:t>)</w:t>
      </w:r>
      <w:r w:rsidRPr="00206301">
        <w:rPr>
          <w:szCs w:val="24"/>
        </w:rPr>
        <w:t xml:space="preserve"> 22004-22012.</w:t>
      </w:r>
    </w:p>
    <w:p w14:paraId="36203233" w14:textId="11449C3B" w:rsidR="006A3563" w:rsidRPr="005245C2" w:rsidRDefault="006550A5">
      <w:pPr>
        <w:pStyle w:val="TFReferencesSection"/>
        <w:numPr>
          <w:ilvl w:val="0"/>
          <w:numId w:val="1"/>
        </w:numPr>
        <w:tabs>
          <w:tab w:val="left" w:pos="851"/>
        </w:tabs>
        <w:rPr>
          <w:bCs/>
          <w:szCs w:val="24"/>
          <w:lang w:val="it-IT"/>
        </w:rPr>
      </w:pPr>
      <w:r w:rsidRPr="00CD5941">
        <w:rPr>
          <w:szCs w:val="24"/>
          <w:lang w:val="it-IT"/>
        </w:rPr>
        <w:t xml:space="preserve">C. K.-M. </w:t>
      </w:r>
      <w:r w:rsidR="006A3563" w:rsidRPr="00CD5941">
        <w:rPr>
          <w:szCs w:val="24"/>
          <w:lang w:val="it-IT"/>
        </w:rPr>
        <w:t xml:space="preserve">Chen, </w:t>
      </w:r>
      <w:r w:rsidRPr="00CD5941">
        <w:rPr>
          <w:szCs w:val="24"/>
          <w:lang w:val="it-IT"/>
        </w:rPr>
        <w:t xml:space="preserve">M.P. </w:t>
      </w:r>
      <w:r w:rsidR="006A3563" w:rsidRPr="00CD5941">
        <w:rPr>
          <w:szCs w:val="24"/>
          <w:lang w:val="it-IT"/>
        </w:rPr>
        <w:t xml:space="preserve">Hudock, </w:t>
      </w:r>
      <w:r w:rsidRPr="00CD5941">
        <w:rPr>
          <w:szCs w:val="24"/>
          <w:lang w:val="it-IT"/>
        </w:rPr>
        <w:t xml:space="preserve">Y.H. </w:t>
      </w:r>
      <w:r w:rsidR="006A3563" w:rsidRPr="00CD5941">
        <w:rPr>
          <w:szCs w:val="24"/>
          <w:lang w:val="it-IT"/>
        </w:rPr>
        <w:t xml:space="preserve">Zhang, </w:t>
      </w:r>
      <w:r w:rsidRPr="00CD5941">
        <w:rPr>
          <w:szCs w:val="24"/>
          <w:lang w:val="it-IT"/>
        </w:rPr>
        <w:t xml:space="preserve">R.T. </w:t>
      </w:r>
      <w:r w:rsidR="006A3563" w:rsidRPr="00CD5941">
        <w:rPr>
          <w:szCs w:val="24"/>
          <w:lang w:val="it-IT"/>
        </w:rPr>
        <w:t xml:space="preserve">Guo, </w:t>
      </w:r>
      <w:r w:rsidRPr="00CD5941">
        <w:rPr>
          <w:szCs w:val="24"/>
          <w:lang w:val="it-IT"/>
        </w:rPr>
        <w:t xml:space="preserve">R. </w:t>
      </w:r>
      <w:r w:rsidR="006A3563" w:rsidRPr="00CD5941">
        <w:rPr>
          <w:szCs w:val="24"/>
          <w:lang w:val="it-IT"/>
        </w:rPr>
        <w:t xml:space="preserve">Cao, </w:t>
      </w:r>
      <w:r w:rsidR="005245C2" w:rsidRPr="00CD5941">
        <w:rPr>
          <w:szCs w:val="24"/>
          <w:lang w:val="it-IT"/>
        </w:rPr>
        <w:t xml:space="preserve">J.H. </w:t>
      </w:r>
      <w:r w:rsidR="006A3563" w:rsidRPr="00CD5941">
        <w:rPr>
          <w:szCs w:val="24"/>
          <w:lang w:val="it-IT"/>
        </w:rPr>
        <w:t xml:space="preserve">No, </w:t>
      </w:r>
      <w:r w:rsidR="005245C2" w:rsidRPr="00CD5941">
        <w:rPr>
          <w:szCs w:val="24"/>
          <w:lang w:val="it-IT"/>
        </w:rPr>
        <w:t xml:space="preserve">P.H. </w:t>
      </w:r>
      <w:r w:rsidR="006A3563" w:rsidRPr="00CD5941">
        <w:rPr>
          <w:szCs w:val="24"/>
          <w:lang w:val="it-IT"/>
        </w:rPr>
        <w:t xml:space="preserve">Liang, </w:t>
      </w:r>
      <w:r w:rsidR="005245C2" w:rsidRPr="00CD5941">
        <w:rPr>
          <w:szCs w:val="24"/>
          <w:lang w:val="it-IT"/>
        </w:rPr>
        <w:t xml:space="preserve">T.P. </w:t>
      </w:r>
      <w:r w:rsidR="006A3563" w:rsidRPr="00CD5941">
        <w:rPr>
          <w:szCs w:val="24"/>
          <w:lang w:val="it-IT"/>
        </w:rPr>
        <w:t xml:space="preserve">Ko, </w:t>
      </w:r>
      <w:r w:rsidR="005245C2" w:rsidRPr="00CD5941">
        <w:rPr>
          <w:szCs w:val="24"/>
          <w:lang w:val="it-IT"/>
        </w:rPr>
        <w:t xml:space="preserve">T.H. </w:t>
      </w:r>
      <w:r w:rsidR="006A3563" w:rsidRPr="00CD5941">
        <w:rPr>
          <w:szCs w:val="24"/>
          <w:lang w:val="it-IT"/>
        </w:rPr>
        <w:t xml:space="preserve">Chang, </w:t>
      </w:r>
      <w:r w:rsidR="005245C2" w:rsidRPr="00CD5941">
        <w:rPr>
          <w:szCs w:val="24"/>
          <w:lang w:val="it-IT"/>
        </w:rPr>
        <w:t xml:space="preserve">S. </w:t>
      </w:r>
      <w:r w:rsidR="006A3563" w:rsidRPr="00CD5941">
        <w:rPr>
          <w:szCs w:val="24"/>
          <w:lang w:val="it-IT"/>
        </w:rPr>
        <w:t xml:space="preserve">Chang, </w:t>
      </w:r>
      <w:r w:rsidR="005245C2" w:rsidRPr="00CD5941">
        <w:rPr>
          <w:szCs w:val="24"/>
          <w:lang w:val="it-IT"/>
        </w:rPr>
        <w:t xml:space="preserve">Y.C. </w:t>
      </w:r>
      <w:r w:rsidR="006A3563" w:rsidRPr="00CD5941">
        <w:rPr>
          <w:szCs w:val="24"/>
          <w:lang w:val="it-IT"/>
        </w:rPr>
        <w:t xml:space="preserve">Song, </w:t>
      </w:r>
      <w:r w:rsidR="005245C2" w:rsidRPr="00CD5941">
        <w:rPr>
          <w:szCs w:val="24"/>
          <w:lang w:val="it-IT"/>
        </w:rPr>
        <w:t xml:space="preserve">J. </w:t>
      </w:r>
      <w:r w:rsidR="006A3563" w:rsidRPr="00CD5941">
        <w:rPr>
          <w:szCs w:val="24"/>
          <w:lang w:val="it-IT"/>
        </w:rPr>
        <w:t xml:space="preserve">Axelson, </w:t>
      </w:r>
      <w:r w:rsidR="005245C2" w:rsidRPr="00CD5941">
        <w:rPr>
          <w:szCs w:val="24"/>
          <w:lang w:val="it-IT"/>
        </w:rPr>
        <w:t xml:space="preserve">A. </w:t>
      </w:r>
      <w:r w:rsidR="006A3563" w:rsidRPr="00CD5941">
        <w:rPr>
          <w:szCs w:val="24"/>
          <w:lang w:val="it-IT"/>
        </w:rPr>
        <w:t xml:space="preserve">Kumar, </w:t>
      </w:r>
      <w:r w:rsidR="005245C2" w:rsidRPr="00CD5941">
        <w:rPr>
          <w:szCs w:val="24"/>
          <w:lang w:val="it-IT"/>
        </w:rPr>
        <w:t>A.H.J.</w:t>
      </w:r>
      <w:r w:rsidR="006A3563" w:rsidRPr="00CD5941">
        <w:rPr>
          <w:szCs w:val="24"/>
          <w:lang w:val="it-IT"/>
        </w:rPr>
        <w:t xml:space="preserve">Wang, </w:t>
      </w:r>
      <w:r w:rsidR="005245C2" w:rsidRPr="00CD5941">
        <w:rPr>
          <w:szCs w:val="24"/>
          <w:lang w:val="it-IT"/>
        </w:rPr>
        <w:t xml:space="preserve">E. </w:t>
      </w:r>
      <w:r w:rsidR="006A3563" w:rsidRPr="00CD5941">
        <w:rPr>
          <w:szCs w:val="24"/>
          <w:lang w:val="it-IT"/>
        </w:rPr>
        <w:t xml:space="preserve">Oldfield, Inhibition </w:t>
      </w:r>
      <w:r w:rsidR="006A3563" w:rsidRPr="00CD5941">
        <w:rPr>
          <w:szCs w:val="24"/>
          <w:lang w:val="it-IT"/>
        </w:rPr>
        <w:lastRenderedPageBreak/>
        <w:t>of geranylgeranyl diphosphate synthase by bisphosphonates: A crystallographic and computational investigation</w:t>
      </w:r>
      <w:r w:rsidR="005245C2" w:rsidRPr="00CD5941">
        <w:rPr>
          <w:szCs w:val="24"/>
          <w:lang w:val="it-IT"/>
        </w:rPr>
        <w:t xml:space="preserve">, </w:t>
      </w:r>
      <w:r w:rsidR="006A3563" w:rsidRPr="00CD5941">
        <w:rPr>
          <w:szCs w:val="24"/>
          <w:lang w:val="it-IT"/>
        </w:rPr>
        <w:t xml:space="preserve">J. Med. </w:t>
      </w:r>
      <w:r w:rsidR="006A3563" w:rsidRPr="005C673F">
        <w:rPr>
          <w:szCs w:val="24"/>
        </w:rPr>
        <w:t xml:space="preserve">Chem. </w:t>
      </w:r>
      <w:r w:rsidR="005245C2" w:rsidRPr="005C673F">
        <w:rPr>
          <w:szCs w:val="24"/>
        </w:rPr>
        <w:t>51 (</w:t>
      </w:r>
      <w:r w:rsidR="006A3563" w:rsidRPr="005C673F">
        <w:rPr>
          <w:szCs w:val="24"/>
        </w:rPr>
        <w:t>2008</w:t>
      </w:r>
      <w:r w:rsidR="005245C2">
        <w:rPr>
          <w:b/>
          <w:szCs w:val="24"/>
        </w:rPr>
        <w:t>)</w:t>
      </w:r>
      <w:r w:rsidR="006A3563" w:rsidRPr="005245C2">
        <w:rPr>
          <w:szCs w:val="24"/>
        </w:rPr>
        <w:t xml:space="preserve"> 5594 −5607.</w:t>
      </w:r>
    </w:p>
    <w:p w14:paraId="3D2A0653" w14:textId="6DCAF5DA" w:rsidR="00214466" w:rsidRPr="00206301" w:rsidRDefault="00206301">
      <w:pPr>
        <w:pStyle w:val="TFReferencesSection"/>
        <w:numPr>
          <w:ilvl w:val="0"/>
          <w:numId w:val="1"/>
        </w:numPr>
        <w:tabs>
          <w:tab w:val="left" w:pos="851"/>
        </w:tabs>
        <w:rPr>
          <w:rFonts w:ascii="Times New Roman" w:hAnsi="Times New Roman"/>
          <w:bCs/>
          <w:szCs w:val="24"/>
          <w:lang w:val="it-IT"/>
        </w:rPr>
      </w:pPr>
      <w:r>
        <w:rPr>
          <w:szCs w:val="24"/>
          <w:lang w:val="it-IT"/>
        </w:rPr>
        <w:t xml:space="preserve">Y. </w:t>
      </w:r>
      <w:r w:rsidR="00214466" w:rsidRPr="00206301">
        <w:rPr>
          <w:szCs w:val="24"/>
          <w:lang w:val="it-IT"/>
        </w:rPr>
        <w:t xml:space="preserve">Zhang, </w:t>
      </w:r>
      <w:r>
        <w:rPr>
          <w:szCs w:val="24"/>
          <w:lang w:val="it-IT"/>
        </w:rPr>
        <w:t xml:space="preserve">R. </w:t>
      </w:r>
      <w:r w:rsidR="00214466" w:rsidRPr="00206301">
        <w:rPr>
          <w:szCs w:val="24"/>
          <w:lang w:val="it-IT"/>
        </w:rPr>
        <w:t xml:space="preserve">Cao, </w:t>
      </w:r>
      <w:r>
        <w:rPr>
          <w:szCs w:val="24"/>
          <w:lang w:val="it-IT"/>
        </w:rPr>
        <w:t xml:space="preserve">F. </w:t>
      </w:r>
      <w:r w:rsidR="00214466" w:rsidRPr="00206301">
        <w:rPr>
          <w:szCs w:val="24"/>
          <w:lang w:val="it-IT"/>
        </w:rPr>
        <w:t xml:space="preserve">Yin, </w:t>
      </w:r>
      <w:r>
        <w:rPr>
          <w:szCs w:val="24"/>
          <w:lang w:val="it-IT"/>
        </w:rPr>
        <w:t xml:space="preserve">M.P. </w:t>
      </w:r>
      <w:r w:rsidR="00214466" w:rsidRPr="00206301">
        <w:rPr>
          <w:szCs w:val="24"/>
          <w:lang w:val="it-IT"/>
        </w:rPr>
        <w:t xml:space="preserve">Hudock, </w:t>
      </w:r>
      <w:r>
        <w:rPr>
          <w:szCs w:val="24"/>
          <w:lang w:val="it-IT"/>
        </w:rPr>
        <w:t xml:space="preserve">R.T. </w:t>
      </w:r>
      <w:r w:rsidR="00214466" w:rsidRPr="00206301">
        <w:rPr>
          <w:szCs w:val="24"/>
          <w:lang w:val="it-IT"/>
        </w:rPr>
        <w:t xml:space="preserve">Guo, </w:t>
      </w:r>
      <w:r>
        <w:rPr>
          <w:szCs w:val="24"/>
          <w:lang w:val="it-IT"/>
        </w:rPr>
        <w:t xml:space="preserve">K. </w:t>
      </w:r>
      <w:r w:rsidR="00214466" w:rsidRPr="00206301">
        <w:rPr>
          <w:szCs w:val="24"/>
          <w:lang w:val="it-IT"/>
        </w:rPr>
        <w:t xml:space="preserve">Krysiak, </w:t>
      </w:r>
      <w:r>
        <w:rPr>
          <w:szCs w:val="24"/>
          <w:lang w:val="it-IT"/>
        </w:rPr>
        <w:t xml:space="preserve">S. </w:t>
      </w:r>
      <w:r w:rsidR="00214466" w:rsidRPr="00206301">
        <w:rPr>
          <w:szCs w:val="24"/>
          <w:lang w:val="it-IT"/>
        </w:rPr>
        <w:t xml:space="preserve">Mukherjee, </w:t>
      </w:r>
      <w:r>
        <w:rPr>
          <w:szCs w:val="24"/>
          <w:lang w:val="it-IT"/>
        </w:rPr>
        <w:t xml:space="preserve">Y.G. </w:t>
      </w:r>
      <w:r w:rsidR="00214466" w:rsidRPr="00206301">
        <w:rPr>
          <w:szCs w:val="24"/>
          <w:lang w:val="it-IT"/>
        </w:rPr>
        <w:t xml:space="preserve">Gao, </w:t>
      </w:r>
      <w:r>
        <w:rPr>
          <w:szCs w:val="24"/>
          <w:lang w:val="it-IT"/>
        </w:rPr>
        <w:t xml:space="preserve">H. </w:t>
      </w:r>
      <w:r w:rsidR="00214466" w:rsidRPr="00206301">
        <w:rPr>
          <w:szCs w:val="24"/>
          <w:lang w:val="it-IT"/>
        </w:rPr>
        <w:t xml:space="preserve">Robinson, </w:t>
      </w:r>
      <w:r>
        <w:rPr>
          <w:szCs w:val="24"/>
          <w:lang w:val="it-IT"/>
        </w:rPr>
        <w:t xml:space="preserve">Y. </w:t>
      </w:r>
      <w:r w:rsidR="00214466" w:rsidRPr="00206301">
        <w:rPr>
          <w:szCs w:val="24"/>
          <w:lang w:val="it-IT"/>
        </w:rPr>
        <w:t xml:space="preserve">Song, </w:t>
      </w:r>
      <w:r>
        <w:rPr>
          <w:szCs w:val="24"/>
          <w:lang w:val="it-IT"/>
        </w:rPr>
        <w:t xml:space="preserve">H.N. </w:t>
      </w:r>
      <w:r w:rsidR="00214466" w:rsidRPr="00206301">
        <w:rPr>
          <w:szCs w:val="24"/>
          <w:lang w:val="it-IT"/>
        </w:rPr>
        <w:t xml:space="preserve">Joo, </w:t>
      </w:r>
      <w:r>
        <w:rPr>
          <w:szCs w:val="24"/>
          <w:lang w:val="it-IT"/>
        </w:rPr>
        <w:t xml:space="preserve">K. </w:t>
      </w:r>
      <w:r w:rsidR="00214466" w:rsidRPr="00206301">
        <w:rPr>
          <w:szCs w:val="24"/>
          <w:lang w:val="it-IT"/>
        </w:rPr>
        <w:t xml:space="preserve">Bergan, </w:t>
      </w:r>
      <w:r>
        <w:rPr>
          <w:szCs w:val="24"/>
          <w:lang w:val="it-IT"/>
        </w:rPr>
        <w:t xml:space="preserve">A. </w:t>
      </w:r>
      <w:r w:rsidR="00214466" w:rsidRPr="00206301">
        <w:rPr>
          <w:szCs w:val="24"/>
          <w:lang w:val="it-IT"/>
        </w:rPr>
        <w:t xml:space="preserve">Leon, </w:t>
      </w:r>
      <w:r>
        <w:rPr>
          <w:szCs w:val="24"/>
          <w:lang w:val="it-IT"/>
        </w:rPr>
        <w:t xml:space="preserve">L. </w:t>
      </w:r>
      <w:r w:rsidR="00214466" w:rsidRPr="00206301">
        <w:rPr>
          <w:szCs w:val="24"/>
          <w:lang w:val="it-IT"/>
        </w:rPr>
        <w:t xml:space="preserve">Cass, </w:t>
      </w:r>
      <w:r>
        <w:rPr>
          <w:szCs w:val="24"/>
          <w:lang w:val="it-IT"/>
        </w:rPr>
        <w:t xml:space="preserve">A. </w:t>
      </w:r>
      <w:r w:rsidR="00214466" w:rsidRPr="00206301">
        <w:rPr>
          <w:szCs w:val="24"/>
          <w:lang w:val="it-IT"/>
        </w:rPr>
        <w:t xml:space="preserve">Goddard, </w:t>
      </w:r>
      <w:r>
        <w:rPr>
          <w:szCs w:val="24"/>
          <w:lang w:val="it-IT"/>
        </w:rPr>
        <w:t xml:space="preserve">T.K. </w:t>
      </w:r>
      <w:r w:rsidR="00214466" w:rsidRPr="00206301">
        <w:rPr>
          <w:szCs w:val="24"/>
          <w:lang w:val="it-IT"/>
        </w:rPr>
        <w:t xml:space="preserve">Chang, </w:t>
      </w:r>
      <w:r>
        <w:rPr>
          <w:szCs w:val="24"/>
          <w:lang w:val="it-IT"/>
        </w:rPr>
        <w:t xml:space="preserve">F.Y. </w:t>
      </w:r>
      <w:r w:rsidR="00214466" w:rsidRPr="00206301">
        <w:rPr>
          <w:szCs w:val="24"/>
          <w:lang w:val="it-IT"/>
        </w:rPr>
        <w:t xml:space="preserve">Lin, </w:t>
      </w:r>
      <w:r>
        <w:rPr>
          <w:szCs w:val="24"/>
          <w:lang w:val="it-IT"/>
        </w:rPr>
        <w:t>E. v</w:t>
      </w:r>
      <w:r w:rsidR="00214466" w:rsidRPr="00206301">
        <w:rPr>
          <w:szCs w:val="24"/>
          <w:lang w:val="it-IT"/>
        </w:rPr>
        <w:t xml:space="preserve">an Beek, </w:t>
      </w:r>
      <w:r>
        <w:rPr>
          <w:szCs w:val="24"/>
          <w:lang w:val="it-IT"/>
        </w:rPr>
        <w:t xml:space="preserve">S. </w:t>
      </w:r>
      <w:r w:rsidR="00214466" w:rsidRPr="00206301">
        <w:rPr>
          <w:szCs w:val="24"/>
          <w:lang w:val="it-IT"/>
        </w:rPr>
        <w:t xml:space="preserve">Papapoulos, </w:t>
      </w:r>
      <w:r>
        <w:rPr>
          <w:szCs w:val="24"/>
          <w:lang w:val="it-IT"/>
        </w:rPr>
        <w:t>A.</w:t>
      </w:r>
      <w:r w:rsidR="00214466" w:rsidRPr="00206301">
        <w:rPr>
          <w:szCs w:val="24"/>
          <w:lang w:val="it-IT"/>
        </w:rPr>
        <w:t xml:space="preserve">H.-J. Wang, </w:t>
      </w:r>
      <w:r>
        <w:rPr>
          <w:szCs w:val="24"/>
          <w:lang w:val="it-IT"/>
        </w:rPr>
        <w:t xml:space="preserve">T. </w:t>
      </w:r>
      <w:r w:rsidR="00214466" w:rsidRPr="00206301">
        <w:rPr>
          <w:szCs w:val="24"/>
          <w:lang w:val="it-IT"/>
        </w:rPr>
        <w:t xml:space="preserve">Kubo, </w:t>
      </w:r>
      <w:r>
        <w:rPr>
          <w:szCs w:val="24"/>
          <w:lang w:val="it-IT"/>
        </w:rPr>
        <w:t xml:space="preserve">M. </w:t>
      </w:r>
      <w:r w:rsidR="00214466" w:rsidRPr="00206301">
        <w:rPr>
          <w:szCs w:val="24"/>
          <w:lang w:val="it-IT"/>
        </w:rPr>
        <w:t xml:space="preserve">Ochi, </w:t>
      </w:r>
      <w:r>
        <w:rPr>
          <w:szCs w:val="24"/>
          <w:lang w:val="it-IT"/>
        </w:rPr>
        <w:t xml:space="preserve">D. </w:t>
      </w:r>
      <w:r w:rsidR="00214466" w:rsidRPr="00206301">
        <w:rPr>
          <w:szCs w:val="24"/>
          <w:lang w:val="it-IT"/>
        </w:rPr>
        <w:t xml:space="preserve">Mukkamala, </w:t>
      </w:r>
      <w:r>
        <w:rPr>
          <w:szCs w:val="24"/>
          <w:lang w:val="it-IT"/>
        </w:rPr>
        <w:t xml:space="preserve">E. </w:t>
      </w:r>
      <w:r w:rsidR="00214466" w:rsidRPr="00206301">
        <w:rPr>
          <w:szCs w:val="24"/>
          <w:lang w:val="it-IT"/>
        </w:rPr>
        <w:t>Oldfield, Lipophilic Bisphosphonates as Dual Farnesyl/Geranylgeranyl Diphosphate Synthase Inhibitors: An X-ray and NMR Investigation</w:t>
      </w:r>
      <w:r>
        <w:rPr>
          <w:i/>
          <w:szCs w:val="24"/>
          <w:lang w:val="it-IT"/>
        </w:rPr>
        <w:t>,</w:t>
      </w:r>
      <w:r w:rsidRPr="00206301">
        <w:rPr>
          <w:i/>
          <w:szCs w:val="24"/>
          <w:lang w:val="it-IT"/>
        </w:rPr>
        <w:t xml:space="preserve"> </w:t>
      </w:r>
      <w:r w:rsidR="00214466" w:rsidRPr="00CD5941">
        <w:rPr>
          <w:szCs w:val="24"/>
          <w:lang w:val="it-IT"/>
        </w:rPr>
        <w:t>J</w:t>
      </w:r>
      <w:r w:rsidRPr="00CD5941">
        <w:rPr>
          <w:szCs w:val="24"/>
          <w:lang w:val="it-IT"/>
        </w:rPr>
        <w:t>.</w:t>
      </w:r>
      <w:r w:rsidR="00214466" w:rsidRPr="00CD5941">
        <w:rPr>
          <w:szCs w:val="24"/>
          <w:lang w:val="it-IT"/>
        </w:rPr>
        <w:t xml:space="preserve"> Am</w:t>
      </w:r>
      <w:r w:rsidRPr="00CD5941">
        <w:rPr>
          <w:szCs w:val="24"/>
          <w:lang w:val="it-IT"/>
        </w:rPr>
        <w:t>.</w:t>
      </w:r>
      <w:r w:rsidR="00214466" w:rsidRPr="00CD5941">
        <w:rPr>
          <w:szCs w:val="24"/>
          <w:lang w:val="it-IT"/>
        </w:rPr>
        <w:t xml:space="preserve"> </w:t>
      </w:r>
      <w:r w:rsidR="00214466" w:rsidRPr="00206301">
        <w:rPr>
          <w:szCs w:val="24"/>
        </w:rPr>
        <w:t>Chem</w:t>
      </w:r>
      <w:r>
        <w:rPr>
          <w:szCs w:val="24"/>
        </w:rPr>
        <w:t>.</w:t>
      </w:r>
      <w:r w:rsidR="00214466" w:rsidRPr="00206301">
        <w:rPr>
          <w:szCs w:val="24"/>
        </w:rPr>
        <w:t xml:space="preserve"> Soc. </w:t>
      </w:r>
      <w:r>
        <w:rPr>
          <w:szCs w:val="24"/>
        </w:rPr>
        <w:t>131 (</w:t>
      </w:r>
      <w:r w:rsidR="00214466" w:rsidRPr="005C673F">
        <w:rPr>
          <w:szCs w:val="24"/>
        </w:rPr>
        <w:t>2009</w:t>
      </w:r>
      <w:r>
        <w:rPr>
          <w:b/>
          <w:szCs w:val="24"/>
        </w:rPr>
        <w:t>)</w:t>
      </w:r>
      <w:r w:rsidR="00214466" w:rsidRPr="00206301">
        <w:rPr>
          <w:szCs w:val="24"/>
        </w:rPr>
        <w:t xml:space="preserve"> 5153-5162. </w:t>
      </w:r>
    </w:p>
    <w:p w14:paraId="6E6231A9" w14:textId="5A66741C" w:rsidR="00CE3FFB" w:rsidRPr="00206301" w:rsidRDefault="004458CF">
      <w:pPr>
        <w:pStyle w:val="TFReferencesSection"/>
        <w:numPr>
          <w:ilvl w:val="0"/>
          <w:numId w:val="1"/>
        </w:numPr>
        <w:tabs>
          <w:tab w:val="left" w:pos="851"/>
        </w:tabs>
        <w:rPr>
          <w:bCs/>
          <w:szCs w:val="24"/>
          <w:lang w:val="it-IT"/>
        </w:rPr>
      </w:pPr>
      <w:r>
        <w:rPr>
          <w:szCs w:val="24"/>
        </w:rPr>
        <w:t xml:space="preserve">E. </w:t>
      </w:r>
      <w:r w:rsidR="006333DA" w:rsidRPr="00206301">
        <w:rPr>
          <w:szCs w:val="24"/>
        </w:rPr>
        <w:t xml:space="preserve">Puljula, </w:t>
      </w:r>
      <w:r>
        <w:rPr>
          <w:szCs w:val="24"/>
        </w:rPr>
        <w:t xml:space="preserve">P. </w:t>
      </w:r>
      <w:r w:rsidR="006333DA" w:rsidRPr="00206301">
        <w:rPr>
          <w:szCs w:val="24"/>
        </w:rPr>
        <w:t xml:space="preserve">Turhanen, </w:t>
      </w:r>
      <w:r>
        <w:rPr>
          <w:szCs w:val="24"/>
        </w:rPr>
        <w:t xml:space="preserve">J. </w:t>
      </w:r>
      <w:r w:rsidR="006333DA" w:rsidRPr="00206301">
        <w:rPr>
          <w:szCs w:val="24"/>
        </w:rPr>
        <w:t xml:space="preserve">Vepsäläinen, </w:t>
      </w:r>
      <w:r>
        <w:rPr>
          <w:szCs w:val="24"/>
        </w:rPr>
        <w:t xml:space="preserve">M. </w:t>
      </w:r>
      <w:r w:rsidR="006333DA" w:rsidRPr="00206301">
        <w:rPr>
          <w:szCs w:val="24"/>
        </w:rPr>
        <w:t xml:space="preserve">Monteil, </w:t>
      </w:r>
      <w:r>
        <w:rPr>
          <w:szCs w:val="24"/>
        </w:rPr>
        <w:t xml:space="preserve">M. </w:t>
      </w:r>
      <w:r w:rsidR="006333DA" w:rsidRPr="00206301">
        <w:rPr>
          <w:szCs w:val="24"/>
        </w:rPr>
        <w:t xml:space="preserve">Lecouvey, </w:t>
      </w:r>
      <w:r>
        <w:rPr>
          <w:szCs w:val="24"/>
        </w:rPr>
        <w:t xml:space="preserve">J. </w:t>
      </w:r>
      <w:r w:rsidR="006333DA" w:rsidRPr="00206301">
        <w:rPr>
          <w:szCs w:val="24"/>
        </w:rPr>
        <w:t xml:space="preserve">Weisell, </w:t>
      </w:r>
      <w:r w:rsidR="006333DA" w:rsidRPr="00206301">
        <w:rPr>
          <w:bCs/>
          <w:szCs w:val="24"/>
        </w:rPr>
        <w:t>Structural Requirements for Bisphosphonate Binding on Hydroxyapatite: NMR Study of Bisphosphonate Partial Esters</w:t>
      </w:r>
      <w:r>
        <w:rPr>
          <w:bCs/>
          <w:szCs w:val="24"/>
        </w:rPr>
        <w:t>,</w:t>
      </w:r>
      <w:r w:rsidRPr="00206301">
        <w:rPr>
          <w:bCs/>
          <w:szCs w:val="24"/>
        </w:rPr>
        <w:t xml:space="preserve"> </w:t>
      </w:r>
      <w:r w:rsidR="006333DA" w:rsidRPr="00CD5941">
        <w:rPr>
          <w:bCs/>
          <w:szCs w:val="24"/>
        </w:rPr>
        <w:t xml:space="preserve">ACS Med. </w:t>
      </w:r>
      <w:r w:rsidR="006333DA" w:rsidRPr="00685F9F">
        <w:rPr>
          <w:bCs/>
          <w:szCs w:val="24"/>
          <w:lang w:val="it-IT"/>
        </w:rPr>
        <w:t>Chem. Lett.</w:t>
      </w:r>
      <w:r w:rsidR="006333DA" w:rsidRPr="00206301">
        <w:rPr>
          <w:bCs/>
          <w:szCs w:val="24"/>
          <w:lang w:val="it-IT"/>
        </w:rPr>
        <w:t xml:space="preserve"> </w:t>
      </w:r>
      <w:r w:rsidRPr="005C673F">
        <w:rPr>
          <w:bCs/>
          <w:szCs w:val="24"/>
          <w:lang w:val="it-IT"/>
        </w:rPr>
        <w:t>6 (</w:t>
      </w:r>
      <w:r w:rsidR="006333DA" w:rsidRPr="005C673F">
        <w:rPr>
          <w:bCs/>
          <w:szCs w:val="24"/>
          <w:lang w:val="it-IT"/>
        </w:rPr>
        <w:t>2015</w:t>
      </w:r>
      <w:r w:rsidRPr="005C673F">
        <w:rPr>
          <w:bCs/>
          <w:szCs w:val="24"/>
          <w:lang w:val="it-IT"/>
        </w:rPr>
        <w:t>)</w:t>
      </w:r>
      <w:r w:rsidR="006333DA" w:rsidRPr="00206301">
        <w:rPr>
          <w:bCs/>
          <w:szCs w:val="24"/>
          <w:lang w:val="it-IT"/>
        </w:rPr>
        <w:t xml:space="preserve"> 397–401.</w:t>
      </w:r>
    </w:p>
    <w:p w14:paraId="1A2D72C1" w14:textId="1FF5E0E3" w:rsidR="00CE3FFB" w:rsidRPr="00206301" w:rsidRDefault="00016B9D">
      <w:pPr>
        <w:pStyle w:val="TFReferencesSection"/>
        <w:numPr>
          <w:ilvl w:val="0"/>
          <w:numId w:val="1"/>
        </w:numPr>
        <w:tabs>
          <w:tab w:val="left" w:pos="851"/>
        </w:tabs>
        <w:rPr>
          <w:bCs/>
          <w:szCs w:val="24"/>
          <w:lang w:val="it-IT"/>
        </w:rPr>
      </w:pPr>
      <w:r>
        <w:rPr>
          <w:szCs w:val="24"/>
        </w:rPr>
        <w:t xml:space="preserve">J.V. </w:t>
      </w:r>
      <w:r w:rsidR="00CE3FFB" w:rsidRPr="00206301">
        <w:rPr>
          <w:szCs w:val="24"/>
        </w:rPr>
        <w:t xml:space="preserve">Ragavendran, </w:t>
      </w:r>
      <w:r>
        <w:rPr>
          <w:szCs w:val="24"/>
        </w:rPr>
        <w:t xml:space="preserve">D. </w:t>
      </w:r>
      <w:r w:rsidR="00CE3FFB" w:rsidRPr="00206301">
        <w:rPr>
          <w:szCs w:val="24"/>
        </w:rPr>
        <w:t xml:space="preserve">Sriram, </w:t>
      </w:r>
      <w:r>
        <w:rPr>
          <w:szCs w:val="24"/>
        </w:rPr>
        <w:t xml:space="preserve">K.S. </w:t>
      </w:r>
      <w:r w:rsidR="00CE3FFB" w:rsidRPr="00206301">
        <w:rPr>
          <w:szCs w:val="24"/>
        </w:rPr>
        <w:t xml:space="preserve">Patel, </w:t>
      </w:r>
      <w:r>
        <w:rPr>
          <w:szCs w:val="24"/>
        </w:rPr>
        <w:t xml:space="preserve">I.V. </w:t>
      </w:r>
      <w:r w:rsidR="00CE3FFB" w:rsidRPr="00206301">
        <w:rPr>
          <w:szCs w:val="24"/>
        </w:rPr>
        <w:t xml:space="preserve">Reddy, </w:t>
      </w:r>
      <w:r>
        <w:rPr>
          <w:szCs w:val="24"/>
        </w:rPr>
        <w:t xml:space="preserve">N. </w:t>
      </w:r>
      <w:r w:rsidR="00CE3FFB" w:rsidRPr="00206301">
        <w:rPr>
          <w:szCs w:val="24"/>
        </w:rPr>
        <w:t xml:space="preserve">Bharathwajan, </w:t>
      </w:r>
      <w:r>
        <w:rPr>
          <w:szCs w:val="24"/>
        </w:rPr>
        <w:t xml:space="preserve">J. </w:t>
      </w:r>
      <w:r w:rsidR="00CE3FFB" w:rsidRPr="00206301">
        <w:rPr>
          <w:szCs w:val="24"/>
        </w:rPr>
        <w:t xml:space="preserve">Stables, </w:t>
      </w:r>
      <w:r>
        <w:rPr>
          <w:szCs w:val="24"/>
        </w:rPr>
        <w:t xml:space="preserve">P. </w:t>
      </w:r>
      <w:r w:rsidR="00CE3FFB" w:rsidRPr="00206301">
        <w:rPr>
          <w:szCs w:val="24"/>
        </w:rPr>
        <w:t>Yogeeswari, Design and synthesis of anticonvulsants from a combined phthalimide–GABA–anilide and hydrazone pharmacophore</w:t>
      </w:r>
      <w:r>
        <w:rPr>
          <w:szCs w:val="24"/>
        </w:rPr>
        <w:t>.</w:t>
      </w:r>
      <w:r w:rsidRPr="00206301">
        <w:rPr>
          <w:szCs w:val="24"/>
        </w:rPr>
        <w:t xml:space="preserve"> </w:t>
      </w:r>
      <w:r w:rsidR="00CE3FFB" w:rsidRPr="00685F9F">
        <w:rPr>
          <w:szCs w:val="24"/>
          <w:lang w:val="it-IT"/>
        </w:rPr>
        <w:t>Eu</w:t>
      </w:r>
      <w:r>
        <w:rPr>
          <w:szCs w:val="24"/>
          <w:lang w:val="it-IT"/>
        </w:rPr>
        <w:t>r</w:t>
      </w:r>
      <w:r w:rsidR="00CE3FFB" w:rsidRPr="00685F9F">
        <w:rPr>
          <w:szCs w:val="24"/>
          <w:lang w:val="it-IT"/>
        </w:rPr>
        <w:t>. J. Med. Chem.</w:t>
      </w:r>
      <w:r w:rsidR="00CE3FFB" w:rsidRPr="00206301">
        <w:rPr>
          <w:szCs w:val="24"/>
          <w:lang w:val="it-IT"/>
        </w:rPr>
        <w:t xml:space="preserve"> </w:t>
      </w:r>
      <w:r>
        <w:rPr>
          <w:szCs w:val="24"/>
          <w:lang w:val="it-IT"/>
        </w:rPr>
        <w:t>42 (</w:t>
      </w:r>
      <w:r w:rsidR="00CE3FFB" w:rsidRPr="005C673F">
        <w:rPr>
          <w:szCs w:val="24"/>
          <w:lang w:val="it-IT"/>
        </w:rPr>
        <w:t>2007</w:t>
      </w:r>
      <w:r>
        <w:rPr>
          <w:b/>
          <w:szCs w:val="24"/>
          <w:lang w:val="it-IT"/>
        </w:rPr>
        <w:t>)</w:t>
      </w:r>
      <w:r w:rsidR="00CE3FFB" w:rsidRPr="00206301">
        <w:rPr>
          <w:szCs w:val="24"/>
          <w:lang w:val="it-IT"/>
        </w:rPr>
        <w:t xml:space="preserve"> 146-151.</w:t>
      </w:r>
    </w:p>
    <w:p w14:paraId="05DE3AF8" w14:textId="697A9C81" w:rsidR="001E40C2" w:rsidRPr="00CD5941" w:rsidRDefault="0010445A">
      <w:pPr>
        <w:pStyle w:val="TFReferencesSection"/>
        <w:numPr>
          <w:ilvl w:val="0"/>
          <w:numId w:val="1"/>
        </w:numPr>
        <w:tabs>
          <w:tab w:val="left" w:pos="851"/>
        </w:tabs>
        <w:rPr>
          <w:rFonts w:ascii="Times New Roman" w:hAnsi="Times New Roman"/>
          <w:bCs/>
          <w:szCs w:val="24"/>
        </w:rPr>
      </w:pPr>
      <w:r>
        <w:rPr>
          <w:rFonts w:ascii="Times New Roman" w:hAnsi="Times New Roman"/>
          <w:szCs w:val="24"/>
          <w:lang w:val="pt-BR"/>
        </w:rPr>
        <w:t xml:space="preserve">D. </w:t>
      </w:r>
      <w:r w:rsidR="00FA3E37" w:rsidRPr="00D85C4C">
        <w:rPr>
          <w:rFonts w:ascii="Times New Roman" w:hAnsi="Times New Roman"/>
          <w:szCs w:val="24"/>
          <w:lang w:val="pt-BR"/>
        </w:rPr>
        <w:t xml:space="preserve">Meyer, </w:t>
      </w:r>
      <w:r>
        <w:rPr>
          <w:rFonts w:ascii="Times New Roman" w:hAnsi="Times New Roman"/>
          <w:szCs w:val="24"/>
          <w:lang w:val="pt-BR"/>
        </w:rPr>
        <w:t xml:space="preserve">O. </w:t>
      </w:r>
      <w:r w:rsidR="00FA3E37" w:rsidRPr="00D85C4C">
        <w:rPr>
          <w:rFonts w:ascii="Times New Roman" w:hAnsi="Times New Roman"/>
          <w:szCs w:val="24"/>
          <w:lang w:val="pt-BR"/>
        </w:rPr>
        <w:t xml:space="preserve">Rousseaux, </w:t>
      </w:r>
      <w:r>
        <w:rPr>
          <w:rFonts w:ascii="Times New Roman" w:hAnsi="Times New Roman"/>
          <w:szCs w:val="24"/>
          <w:lang w:val="pt-BR"/>
        </w:rPr>
        <w:t xml:space="preserve">M. </w:t>
      </w:r>
      <w:r w:rsidR="00FA3E37" w:rsidRPr="00D85C4C">
        <w:rPr>
          <w:rFonts w:ascii="Times New Roman" w:hAnsi="Times New Roman"/>
          <w:szCs w:val="24"/>
          <w:lang w:val="pt-BR"/>
        </w:rPr>
        <w:t xml:space="preserve">Schaefer, </w:t>
      </w:r>
      <w:r>
        <w:rPr>
          <w:rFonts w:ascii="Times New Roman" w:hAnsi="Times New Roman"/>
          <w:szCs w:val="24"/>
          <w:lang w:val="pt-BR"/>
        </w:rPr>
        <w:t xml:space="preserve">C. </w:t>
      </w:r>
      <w:r w:rsidR="00FA3E37" w:rsidRPr="00D85C4C">
        <w:rPr>
          <w:rFonts w:ascii="Times New Roman" w:hAnsi="Times New Roman"/>
          <w:szCs w:val="24"/>
          <w:lang w:val="pt-BR"/>
        </w:rPr>
        <w:t xml:space="preserve">Simonot, </w:t>
      </w:r>
      <w:r w:rsidR="00FA3E37" w:rsidRPr="00D85C4C">
        <w:rPr>
          <w:rFonts w:ascii="Times New Roman" w:hAnsi="Times New Roman"/>
          <w:kern w:val="36"/>
          <w:szCs w:val="24"/>
        </w:rPr>
        <w:t>Polyaminated ligands and metal complexes thereof</w:t>
      </w:r>
      <w:r>
        <w:rPr>
          <w:rFonts w:ascii="Times New Roman" w:hAnsi="Times New Roman"/>
          <w:kern w:val="36"/>
          <w:szCs w:val="24"/>
        </w:rPr>
        <w:t>,</w:t>
      </w:r>
      <w:r w:rsidRPr="00D85C4C">
        <w:rPr>
          <w:rFonts w:ascii="Times New Roman" w:hAnsi="Times New Roman"/>
          <w:kern w:val="36"/>
          <w:szCs w:val="24"/>
        </w:rPr>
        <w:t xml:space="preserve"> </w:t>
      </w:r>
      <w:r>
        <w:rPr>
          <w:rFonts w:ascii="Times New Roman" w:hAnsi="Times New Roman"/>
          <w:kern w:val="36"/>
          <w:szCs w:val="24"/>
        </w:rPr>
        <w:t>(</w:t>
      </w:r>
      <w:r w:rsidR="001E40C2" w:rsidRPr="00685F9F">
        <w:rPr>
          <w:rFonts w:ascii="Times New Roman" w:hAnsi="Times New Roman"/>
          <w:szCs w:val="24"/>
          <w:lang w:val="pt-BR"/>
        </w:rPr>
        <w:t>1998</w:t>
      </w:r>
      <w:r w:rsidRPr="0010445A">
        <w:rPr>
          <w:rFonts w:ascii="Times New Roman" w:hAnsi="Times New Roman"/>
          <w:szCs w:val="24"/>
          <w:lang w:val="pt-BR"/>
        </w:rPr>
        <w:t>)</w:t>
      </w:r>
      <w:r w:rsidR="001E40C2" w:rsidRPr="00D85C4C">
        <w:rPr>
          <w:rFonts w:ascii="Times New Roman" w:hAnsi="Times New Roman"/>
          <w:szCs w:val="24"/>
          <w:lang w:val="pt-BR"/>
        </w:rPr>
        <w:t xml:space="preserve"> US5712389.</w:t>
      </w:r>
    </w:p>
    <w:p w14:paraId="66E54FEA" w14:textId="0E508F86" w:rsidR="006778C1" w:rsidRPr="00206301" w:rsidRDefault="00685F9F">
      <w:pPr>
        <w:pStyle w:val="TFReferencesSection"/>
        <w:numPr>
          <w:ilvl w:val="0"/>
          <w:numId w:val="1"/>
        </w:numPr>
        <w:tabs>
          <w:tab w:val="left" w:pos="851"/>
        </w:tabs>
        <w:rPr>
          <w:rFonts w:ascii="Times New Roman" w:hAnsi="Times New Roman"/>
          <w:bCs/>
          <w:szCs w:val="24"/>
        </w:rPr>
      </w:pPr>
      <w:r>
        <w:rPr>
          <w:rFonts w:ascii="Times New Roman" w:hAnsi="Times New Roman"/>
          <w:bCs/>
          <w:szCs w:val="24"/>
        </w:rPr>
        <w:t>M. T.</w:t>
      </w:r>
      <w:r w:rsidR="006778C1" w:rsidRPr="002F6E4C">
        <w:rPr>
          <w:rFonts w:ascii="Times New Roman" w:hAnsi="Times New Roman"/>
          <w:bCs/>
          <w:szCs w:val="24"/>
        </w:rPr>
        <w:t xml:space="preserve">Ankush, </w:t>
      </w:r>
      <w:r>
        <w:rPr>
          <w:rFonts w:ascii="Times New Roman" w:hAnsi="Times New Roman"/>
          <w:bCs/>
          <w:szCs w:val="24"/>
        </w:rPr>
        <w:t xml:space="preserve">R. </w:t>
      </w:r>
      <w:r w:rsidR="006778C1" w:rsidRPr="002F6E4C">
        <w:rPr>
          <w:rFonts w:ascii="Times New Roman" w:hAnsi="Times New Roman"/>
          <w:bCs/>
          <w:szCs w:val="24"/>
        </w:rPr>
        <w:t xml:space="preserve">Kumar, </w:t>
      </w:r>
      <w:r>
        <w:rPr>
          <w:rFonts w:ascii="Times New Roman" w:hAnsi="Times New Roman"/>
          <w:bCs/>
          <w:szCs w:val="24"/>
        </w:rPr>
        <w:t xml:space="preserve">R.B. </w:t>
      </w:r>
      <w:r w:rsidR="006778C1" w:rsidRPr="002F6E4C">
        <w:rPr>
          <w:rFonts w:ascii="Times New Roman" w:hAnsi="Times New Roman"/>
          <w:bCs/>
          <w:szCs w:val="24"/>
        </w:rPr>
        <w:t>Telong, Novel Process for Preparing Risedronic Acid</w:t>
      </w:r>
      <w:r>
        <w:rPr>
          <w:rFonts w:ascii="Times New Roman" w:hAnsi="Times New Roman"/>
          <w:bCs/>
          <w:szCs w:val="24"/>
        </w:rPr>
        <w:t>,</w:t>
      </w:r>
      <w:r w:rsidRPr="002F6E4C">
        <w:rPr>
          <w:rFonts w:ascii="Times New Roman" w:hAnsi="Times New Roman"/>
          <w:bCs/>
          <w:szCs w:val="24"/>
        </w:rPr>
        <w:t xml:space="preserve"> </w:t>
      </w:r>
      <w:r w:rsidRPr="00685F9F">
        <w:rPr>
          <w:rFonts w:ascii="Times New Roman" w:hAnsi="Times New Roman"/>
          <w:bCs/>
          <w:szCs w:val="24"/>
        </w:rPr>
        <w:t>(</w:t>
      </w:r>
      <w:r w:rsidR="006778C1" w:rsidRPr="00685F9F">
        <w:rPr>
          <w:rFonts w:ascii="Times New Roman" w:hAnsi="Times New Roman"/>
          <w:bCs/>
          <w:szCs w:val="24"/>
        </w:rPr>
        <w:t>2010</w:t>
      </w:r>
      <w:r w:rsidRPr="00685F9F">
        <w:rPr>
          <w:rFonts w:ascii="Times New Roman" w:hAnsi="Times New Roman"/>
          <w:bCs/>
          <w:szCs w:val="24"/>
        </w:rPr>
        <w:t>)</w:t>
      </w:r>
      <w:r w:rsidR="006778C1" w:rsidRPr="00206301">
        <w:rPr>
          <w:rFonts w:ascii="Times New Roman" w:hAnsi="Times New Roman"/>
          <w:bCs/>
          <w:szCs w:val="24"/>
        </w:rPr>
        <w:t xml:space="preserve"> US012066 A1.</w:t>
      </w:r>
    </w:p>
    <w:p w14:paraId="61D9098D" w14:textId="56E436B3" w:rsidR="00D268A2" w:rsidRPr="00206301" w:rsidRDefault="00D268A2" w:rsidP="00CB7B52">
      <w:pPr>
        <w:pStyle w:val="TFReferencesSection"/>
        <w:numPr>
          <w:ilvl w:val="0"/>
          <w:numId w:val="1"/>
        </w:numPr>
        <w:tabs>
          <w:tab w:val="left" w:pos="851"/>
        </w:tabs>
        <w:rPr>
          <w:rFonts w:ascii="Times New Roman" w:hAnsi="Times New Roman"/>
          <w:szCs w:val="24"/>
          <w:lang w:val="it-IT"/>
        </w:rPr>
      </w:pPr>
      <w:r w:rsidRPr="00206301">
        <w:rPr>
          <w:rFonts w:ascii="Times New Roman" w:hAnsi="Times New Roman"/>
          <w:bCs/>
          <w:szCs w:val="24"/>
        </w:rPr>
        <w:t xml:space="preserve">Kas, M.; Benes, M.; Pis, J. </w:t>
      </w:r>
      <w:r w:rsidRPr="00206301">
        <w:rPr>
          <w:rFonts w:ascii="Times New Roman" w:hAnsi="Times New Roman"/>
          <w:szCs w:val="24"/>
        </w:rPr>
        <w:t xml:space="preserve">Process for making zoledronic acid. </w:t>
      </w:r>
      <w:r w:rsidRPr="00642821">
        <w:rPr>
          <w:rFonts w:ascii="Times New Roman" w:hAnsi="Times New Roman"/>
          <w:szCs w:val="24"/>
          <w:lang w:val="it-IT"/>
        </w:rPr>
        <w:t>2013</w:t>
      </w:r>
      <w:r w:rsidRPr="00206301">
        <w:rPr>
          <w:rFonts w:ascii="Times New Roman" w:hAnsi="Times New Roman"/>
          <w:szCs w:val="24"/>
          <w:lang w:val="it-IT"/>
        </w:rPr>
        <w:t>, EP2192126B1.</w:t>
      </w:r>
    </w:p>
    <w:p w14:paraId="53F184BD" w14:textId="109914CB" w:rsidR="005A7B1B" w:rsidRPr="006A6457" w:rsidRDefault="008D4900" w:rsidP="009E4114">
      <w:pPr>
        <w:pStyle w:val="TFReferencesSection"/>
        <w:numPr>
          <w:ilvl w:val="0"/>
          <w:numId w:val="1"/>
        </w:numPr>
        <w:tabs>
          <w:tab w:val="left" w:pos="851"/>
        </w:tabs>
        <w:rPr>
          <w:rFonts w:ascii="Times New Roman" w:hAnsi="Times New Roman"/>
          <w:bCs/>
          <w:szCs w:val="24"/>
          <w:lang w:val="it-IT"/>
        </w:rPr>
      </w:pPr>
      <w:r>
        <w:rPr>
          <w:szCs w:val="24"/>
          <w:lang w:val="it-IT"/>
        </w:rPr>
        <w:t xml:space="preserve">G. </w:t>
      </w:r>
      <w:r w:rsidR="005B173B" w:rsidRPr="00D85C4C">
        <w:rPr>
          <w:szCs w:val="24"/>
          <w:lang w:val="it-IT"/>
        </w:rPr>
        <w:t>Giannuzzi</w:t>
      </w:r>
      <w:r w:rsidR="003C1A74" w:rsidRPr="00D85C4C">
        <w:rPr>
          <w:szCs w:val="24"/>
          <w:lang w:val="it-IT"/>
        </w:rPr>
        <w:t xml:space="preserve">, </w:t>
      </w:r>
      <w:r>
        <w:rPr>
          <w:szCs w:val="24"/>
          <w:lang w:val="it-IT"/>
        </w:rPr>
        <w:t xml:space="preserve">N. </w:t>
      </w:r>
      <w:r w:rsidR="005B173B" w:rsidRPr="00D85C4C">
        <w:rPr>
          <w:szCs w:val="24"/>
          <w:lang w:val="it-IT"/>
        </w:rPr>
        <w:t>Lobefaro</w:t>
      </w:r>
      <w:r w:rsidR="003C1A74" w:rsidRPr="00D85C4C">
        <w:rPr>
          <w:szCs w:val="24"/>
          <w:lang w:val="it-IT"/>
        </w:rPr>
        <w:t>,</w:t>
      </w:r>
      <w:r w:rsidR="005B173B" w:rsidRPr="00D85C4C">
        <w:rPr>
          <w:szCs w:val="24"/>
          <w:lang w:val="it-IT"/>
        </w:rPr>
        <w:t xml:space="preserve"> </w:t>
      </w:r>
      <w:r>
        <w:rPr>
          <w:szCs w:val="24"/>
          <w:lang w:val="it-IT"/>
        </w:rPr>
        <w:t xml:space="preserve">E. </w:t>
      </w:r>
      <w:r w:rsidR="005B173B" w:rsidRPr="00D85C4C">
        <w:rPr>
          <w:szCs w:val="24"/>
          <w:lang w:val="it-IT"/>
        </w:rPr>
        <w:t>Paradies</w:t>
      </w:r>
      <w:r w:rsidR="003C1A74" w:rsidRPr="00D85C4C">
        <w:rPr>
          <w:szCs w:val="24"/>
          <w:lang w:val="it-IT"/>
        </w:rPr>
        <w:t>,</w:t>
      </w:r>
      <w:r w:rsidR="005B173B" w:rsidRPr="00D85C4C">
        <w:rPr>
          <w:szCs w:val="24"/>
          <w:lang w:val="it-IT"/>
        </w:rPr>
        <w:t xml:space="preserve"> </w:t>
      </w:r>
      <w:r>
        <w:rPr>
          <w:szCs w:val="24"/>
          <w:lang w:val="it-IT"/>
        </w:rPr>
        <w:t xml:space="preserve">A. </w:t>
      </w:r>
      <w:r w:rsidR="005B173B" w:rsidRPr="00D85C4C">
        <w:rPr>
          <w:szCs w:val="24"/>
          <w:lang w:val="it-IT"/>
        </w:rPr>
        <w:t>Vozza</w:t>
      </w:r>
      <w:r w:rsidR="003C1A74" w:rsidRPr="00D85C4C">
        <w:rPr>
          <w:szCs w:val="24"/>
          <w:lang w:val="it-IT"/>
        </w:rPr>
        <w:t>,</w:t>
      </w:r>
      <w:r w:rsidR="005B173B" w:rsidRPr="00D85C4C">
        <w:rPr>
          <w:szCs w:val="24"/>
          <w:lang w:val="it-IT"/>
        </w:rPr>
        <w:t xml:space="preserve"> </w:t>
      </w:r>
      <w:r>
        <w:rPr>
          <w:szCs w:val="24"/>
          <w:lang w:val="it-IT"/>
        </w:rPr>
        <w:t xml:space="preserve">G. </w:t>
      </w:r>
      <w:r w:rsidR="005B173B" w:rsidRPr="00D85C4C">
        <w:rPr>
          <w:szCs w:val="24"/>
          <w:lang w:val="it-IT"/>
        </w:rPr>
        <w:t>Punzi</w:t>
      </w:r>
      <w:r w:rsidR="003C1A74" w:rsidRPr="00D85C4C">
        <w:rPr>
          <w:szCs w:val="24"/>
          <w:lang w:val="it-IT"/>
        </w:rPr>
        <w:t>,</w:t>
      </w:r>
      <w:r w:rsidR="005B173B" w:rsidRPr="00D85C4C">
        <w:rPr>
          <w:szCs w:val="24"/>
          <w:lang w:val="it-IT"/>
        </w:rPr>
        <w:t xml:space="preserve"> </w:t>
      </w:r>
      <w:r>
        <w:rPr>
          <w:szCs w:val="24"/>
          <w:lang w:val="it-IT"/>
        </w:rPr>
        <w:t xml:space="preserve">C.M.T. </w:t>
      </w:r>
      <w:r w:rsidR="005B173B" w:rsidRPr="00D85C4C">
        <w:rPr>
          <w:szCs w:val="24"/>
          <w:lang w:val="it-IT"/>
        </w:rPr>
        <w:t>Marobbio</w:t>
      </w:r>
      <w:r w:rsidR="003C1A74" w:rsidRPr="00D85C4C">
        <w:rPr>
          <w:szCs w:val="24"/>
          <w:lang w:val="it-IT"/>
        </w:rPr>
        <w:t>,</w:t>
      </w:r>
      <w:r w:rsidR="005B173B" w:rsidRPr="00D85C4C">
        <w:rPr>
          <w:szCs w:val="24"/>
          <w:lang w:val="it-IT"/>
        </w:rPr>
        <w:t xml:space="preserve"> Overexpression in </w:t>
      </w:r>
      <w:r w:rsidR="005B173B" w:rsidRPr="00D85C4C">
        <w:rPr>
          <w:i/>
          <w:szCs w:val="24"/>
          <w:lang w:val="it-IT"/>
        </w:rPr>
        <w:t>E. coli</w:t>
      </w:r>
      <w:r w:rsidR="005B173B" w:rsidRPr="00D85C4C">
        <w:rPr>
          <w:szCs w:val="24"/>
          <w:lang w:val="it-IT"/>
        </w:rPr>
        <w:t xml:space="preserve"> and purification of the L. pneumophila Lpp2981 protein</w:t>
      </w:r>
      <w:r>
        <w:rPr>
          <w:szCs w:val="24"/>
          <w:lang w:val="it-IT"/>
        </w:rPr>
        <w:t>,</w:t>
      </w:r>
      <w:r w:rsidR="005B173B" w:rsidRPr="00D85C4C">
        <w:rPr>
          <w:szCs w:val="24"/>
          <w:lang w:val="it-IT"/>
        </w:rPr>
        <w:t xml:space="preserve"> </w:t>
      </w:r>
      <w:r w:rsidR="005B173B" w:rsidRPr="00CD5941">
        <w:rPr>
          <w:szCs w:val="24"/>
          <w:lang w:val="it-IT"/>
        </w:rPr>
        <w:t>Mol</w:t>
      </w:r>
      <w:r w:rsidRPr="00CD5941">
        <w:rPr>
          <w:szCs w:val="24"/>
          <w:lang w:val="it-IT"/>
        </w:rPr>
        <w:t>.</w:t>
      </w:r>
      <w:r w:rsidR="005B173B" w:rsidRPr="00CD5941">
        <w:rPr>
          <w:szCs w:val="24"/>
          <w:lang w:val="it-IT"/>
        </w:rPr>
        <w:t xml:space="preserve"> </w:t>
      </w:r>
      <w:r w:rsidR="005B173B" w:rsidRPr="008D4900">
        <w:rPr>
          <w:szCs w:val="24"/>
        </w:rPr>
        <w:t xml:space="preserve">Biotechnol. </w:t>
      </w:r>
      <w:r>
        <w:rPr>
          <w:szCs w:val="24"/>
        </w:rPr>
        <w:t>56 (</w:t>
      </w:r>
      <w:r w:rsidR="005B173B" w:rsidRPr="005C673F">
        <w:rPr>
          <w:szCs w:val="24"/>
        </w:rPr>
        <w:t>2014</w:t>
      </w:r>
      <w:r>
        <w:rPr>
          <w:b/>
          <w:szCs w:val="24"/>
        </w:rPr>
        <w:t>)</w:t>
      </w:r>
      <w:r w:rsidR="003C1A74" w:rsidRPr="00D85C4C">
        <w:rPr>
          <w:szCs w:val="24"/>
        </w:rPr>
        <w:t xml:space="preserve"> 157-65.</w:t>
      </w:r>
    </w:p>
    <w:p w14:paraId="1ECF80B0" w14:textId="0C70437B" w:rsidR="005A7B1B" w:rsidRPr="006A6457" w:rsidRDefault="00EA2F04" w:rsidP="00BA1AC8">
      <w:pPr>
        <w:pStyle w:val="TFReferencesSection"/>
        <w:numPr>
          <w:ilvl w:val="0"/>
          <w:numId w:val="1"/>
        </w:numPr>
        <w:tabs>
          <w:tab w:val="left" w:pos="851"/>
        </w:tabs>
        <w:rPr>
          <w:rFonts w:ascii="Times New Roman" w:hAnsi="Times New Roman"/>
          <w:bCs/>
          <w:szCs w:val="24"/>
          <w:lang w:val="it-IT"/>
        </w:rPr>
      </w:pPr>
      <w:r>
        <w:rPr>
          <w:szCs w:val="24"/>
        </w:rPr>
        <w:lastRenderedPageBreak/>
        <w:t xml:space="preserve">S.E. </w:t>
      </w:r>
      <w:r w:rsidR="005A7B1B" w:rsidRPr="00D85C4C">
        <w:rPr>
          <w:szCs w:val="24"/>
        </w:rPr>
        <w:t xml:space="preserve">Sen, </w:t>
      </w:r>
      <w:r>
        <w:rPr>
          <w:szCs w:val="24"/>
        </w:rPr>
        <w:t xml:space="preserve">M. </w:t>
      </w:r>
      <w:r w:rsidR="005A7B1B" w:rsidRPr="00D85C4C">
        <w:rPr>
          <w:szCs w:val="24"/>
        </w:rPr>
        <w:t xml:space="preserve">Cusson, </w:t>
      </w:r>
      <w:r>
        <w:rPr>
          <w:szCs w:val="24"/>
        </w:rPr>
        <w:t xml:space="preserve">C. </w:t>
      </w:r>
      <w:r w:rsidR="005A7B1B" w:rsidRPr="00D85C4C">
        <w:rPr>
          <w:szCs w:val="24"/>
        </w:rPr>
        <w:t xml:space="preserve">Trobaugh, </w:t>
      </w:r>
      <w:r>
        <w:rPr>
          <w:szCs w:val="24"/>
        </w:rPr>
        <w:t xml:space="preserve">C. </w:t>
      </w:r>
      <w:r w:rsidR="005A7B1B" w:rsidRPr="00D85C4C">
        <w:rPr>
          <w:szCs w:val="24"/>
        </w:rPr>
        <w:t xml:space="preserve">Béliveau, </w:t>
      </w:r>
      <w:r>
        <w:rPr>
          <w:szCs w:val="24"/>
        </w:rPr>
        <w:t xml:space="preserve">T. </w:t>
      </w:r>
      <w:r w:rsidR="005A7B1B" w:rsidRPr="00D85C4C">
        <w:rPr>
          <w:szCs w:val="24"/>
        </w:rPr>
        <w:t xml:space="preserve">Richard, </w:t>
      </w:r>
      <w:r>
        <w:rPr>
          <w:szCs w:val="24"/>
        </w:rPr>
        <w:t xml:space="preserve">W. </w:t>
      </w:r>
      <w:r w:rsidR="005A7B1B" w:rsidRPr="00D85C4C">
        <w:rPr>
          <w:szCs w:val="24"/>
        </w:rPr>
        <w:t xml:space="preserve">Graham, </w:t>
      </w:r>
      <w:r>
        <w:rPr>
          <w:szCs w:val="24"/>
        </w:rPr>
        <w:t xml:space="preserve">A. </w:t>
      </w:r>
      <w:r w:rsidR="005A7B1B" w:rsidRPr="00D85C4C">
        <w:rPr>
          <w:szCs w:val="24"/>
        </w:rPr>
        <w:t xml:space="preserve">Mimms, </w:t>
      </w:r>
      <w:r>
        <w:rPr>
          <w:szCs w:val="24"/>
        </w:rPr>
        <w:t xml:space="preserve">G. </w:t>
      </w:r>
      <w:r w:rsidR="005A7B1B" w:rsidRPr="00D85C4C">
        <w:rPr>
          <w:szCs w:val="24"/>
        </w:rPr>
        <w:t>Roberts, Purification, properties and heteromeric association of type-1 and type-2 lepidopteran farnesyl diphosphate synthases</w:t>
      </w:r>
      <w:r>
        <w:rPr>
          <w:szCs w:val="24"/>
        </w:rPr>
        <w:t>,</w:t>
      </w:r>
      <w:r w:rsidRPr="00D85C4C">
        <w:rPr>
          <w:szCs w:val="24"/>
        </w:rPr>
        <w:t xml:space="preserve"> </w:t>
      </w:r>
      <w:r w:rsidR="005A7B1B" w:rsidRPr="00EA2F04">
        <w:rPr>
          <w:szCs w:val="24"/>
        </w:rPr>
        <w:t>Insect Biochem. Mol. Biol.</w:t>
      </w:r>
      <w:r w:rsidR="005A7B1B" w:rsidRPr="00D85C4C">
        <w:rPr>
          <w:szCs w:val="24"/>
        </w:rPr>
        <w:t xml:space="preserve"> </w:t>
      </w:r>
      <w:r w:rsidR="008D7B1A">
        <w:rPr>
          <w:szCs w:val="24"/>
        </w:rPr>
        <w:t>37 (</w:t>
      </w:r>
      <w:r w:rsidR="005A7B1B" w:rsidRPr="005C673F">
        <w:rPr>
          <w:szCs w:val="24"/>
        </w:rPr>
        <w:t>2007</w:t>
      </w:r>
      <w:r w:rsidR="008D7B1A">
        <w:rPr>
          <w:b/>
          <w:szCs w:val="24"/>
        </w:rPr>
        <w:t>)</w:t>
      </w:r>
      <w:r w:rsidR="005A7B1B" w:rsidRPr="00D85C4C">
        <w:rPr>
          <w:szCs w:val="24"/>
        </w:rPr>
        <w:t xml:space="preserve"> 819-</w:t>
      </w:r>
      <w:r>
        <w:rPr>
          <w:szCs w:val="24"/>
        </w:rPr>
        <w:t>8</w:t>
      </w:r>
      <w:r w:rsidR="005A7B1B" w:rsidRPr="00D85C4C">
        <w:rPr>
          <w:szCs w:val="24"/>
        </w:rPr>
        <w:t>28.</w:t>
      </w:r>
    </w:p>
    <w:p w14:paraId="276D53CD" w14:textId="0D59BD20" w:rsidR="005A7B1B" w:rsidRPr="00206301" w:rsidRDefault="006B2793" w:rsidP="00C75139">
      <w:pPr>
        <w:pStyle w:val="TFReferencesSection"/>
        <w:numPr>
          <w:ilvl w:val="0"/>
          <w:numId w:val="1"/>
        </w:numPr>
        <w:tabs>
          <w:tab w:val="left" w:pos="851"/>
        </w:tabs>
        <w:rPr>
          <w:rFonts w:ascii="Times New Roman" w:hAnsi="Times New Roman"/>
          <w:bCs/>
          <w:szCs w:val="24"/>
          <w:lang w:val="it-IT"/>
        </w:rPr>
      </w:pPr>
      <w:r>
        <w:rPr>
          <w:szCs w:val="24"/>
          <w:lang w:val="it-IT"/>
        </w:rPr>
        <w:t xml:space="preserve">M. </w:t>
      </w:r>
      <w:r w:rsidR="00462F9E" w:rsidRPr="00902E3E">
        <w:rPr>
          <w:szCs w:val="24"/>
          <w:lang w:val="it-IT"/>
        </w:rPr>
        <w:t xml:space="preserve">Tauro, </w:t>
      </w:r>
      <w:r>
        <w:rPr>
          <w:szCs w:val="24"/>
          <w:lang w:val="it-IT"/>
        </w:rPr>
        <w:t xml:space="preserve">A. </w:t>
      </w:r>
      <w:r w:rsidR="00462F9E" w:rsidRPr="00902E3E">
        <w:rPr>
          <w:szCs w:val="24"/>
          <w:lang w:val="it-IT"/>
        </w:rPr>
        <w:t xml:space="preserve">Laghezza, </w:t>
      </w:r>
      <w:r>
        <w:rPr>
          <w:szCs w:val="24"/>
          <w:lang w:val="it-IT"/>
        </w:rPr>
        <w:t xml:space="preserve">F. </w:t>
      </w:r>
      <w:r w:rsidR="00462F9E" w:rsidRPr="00902E3E">
        <w:rPr>
          <w:szCs w:val="24"/>
          <w:lang w:val="it-IT"/>
        </w:rPr>
        <w:t xml:space="preserve">Loiodice, </w:t>
      </w:r>
      <w:r>
        <w:rPr>
          <w:szCs w:val="24"/>
          <w:lang w:val="it-IT"/>
        </w:rPr>
        <w:t xml:space="preserve">M. </w:t>
      </w:r>
      <w:r w:rsidR="00462F9E" w:rsidRPr="00902E3E">
        <w:rPr>
          <w:szCs w:val="24"/>
          <w:lang w:val="it-IT"/>
        </w:rPr>
        <w:t xml:space="preserve">Agamennone, </w:t>
      </w:r>
      <w:r>
        <w:rPr>
          <w:szCs w:val="24"/>
          <w:lang w:val="it-IT"/>
        </w:rPr>
        <w:t xml:space="preserve">C. </w:t>
      </w:r>
      <w:r w:rsidR="00462F9E" w:rsidRPr="00902E3E">
        <w:rPr>
          <w:szCs w:val="24"/>
          <w:lang w:val="it-IT"/>
        </w:rPr>
        <w:t xml:space="preserve">Campestre, </w:t>
      </w:r>
      <w:r>
        <w:rPr>
          <w:szCs w:val="24"/>
          <w:lang w:val="it-IT"/>
        </w:rPr>
        <w:t xml:space="preserve">P. </w:t>
      </w:r>
      <w:r w:rsidR="00462F9E" w:rsidRPr="00902E3E">
        <w:rPr>
          <w:szCs w:val="24"/>
          <w:lang w:val="it-IT"/>
        </w:rPr>
        <w:t>Tortorella, Arylamino met</w:t>
      </w:r>
      <w:r w:rsidR="00462F9E" w:rsidRPr="002F6E4C">
        <w:rPr>
          <w:szCs w:val="24"/>
          <w:lang w:val="it-IT"/>
        </w:rPr>
        <w:t>hylene bisphosphonate derivatives as bone seeking matrix metalloproteinase inhibitors</w:t>
      </w:r>
      <w:r>
        <w:rPr>
          <w:szCs w:val="24"/>
          <w:lang w:val="it-IT"/>
        </w:rPr>
        <w:t>,</w:t>
      </w:r>
      <w:r w:rsidRPr="002F6E4C">
        <w:rPr>
          <w:szCs w:val="24"/>
          <w:lang w:val="it-IT"/>
        </w:rPr>
        <w:t xml:space="preserve"> </w:t>
      </w:r>
      <w:r w:rsidR="00462F9E" w:rsidRPr="006812DA">
        <w:rPr>
          <w:szCs w:val="24"/>
          <w:lang w:val="it-IT"/>
        </w:rPr>
        <w:t>Bioorg. Med. Chem.</w:t>
      </w:r>
      <w:r w:rsidR="00462F9E" w:rsidRPr="00206301">
        <w:rPr>
          <w:i/>
          <w:szCs w:val="24"/>
          <w:lang w:val="it-IT"/>
        </w:rPr>
        <w:t xml:space="preserve"> </w:t>
      </w:r>
      <w:r w:rsidRPr="005C673F">
        <w:rPr>
          <w:szCs w:val="24"/>
          <w:lang w:val="it-IT"/>
        </w:rPr>
        <w:t>21 (</w:t>
      </w:r>
      <w:r w:rsidR="00462F9E" w:rsidRPr="005C673F">
        <w:rPr>
          <w:szCs w:val="24"/>
          <w:lang w:val="it-IT"/>
        </w:rPr>
        <w:t>2013</w:t>
      </w:r>
      <w:r w:rsidRPr="005C673F">
        <w:rPr>
          <w:szCs w:val="24"/>
          <w:lang w:val="it-IT"/>
        </w:rPr>
        <w:t>)</w:t>
      </w:r>
      <w:r w:rsidR="00462F9E" w:rsidRPr="00206301">
        <w:rPr>
          <w:i/>
          <w:szCs w:val="24"/>
          <w:lang w:val="it-IT"/>
        </w:rPr>
        <w:t xml:space="preserve"> </w:t>
      </w:r>
      <w:r w:rsidR="00462F9E" w:rsidRPr="00206301">
        <w:rPr>
          <w:szCs w:val="24"/>
          <w:lang w:val="it-IT"/>
        </w:rPr>
        <w:t>6456–6465.</w:t>
      </w:r>
    </w:p>
    <w:p w14:paraId="275DFD95" w14:textId="4AF7762A" w:rsidR="0060518D" w:rsidRPr="00CD5941" w:rsidRDefault="00BF2255" w:rsidP="00AD47FF">
      <w:pPr>
        <w:pStyle w:val="TFReferencesSection"/>
        <w:numPr>
          <w:ilvl w:val="0"/>
          <w:numId w:val="1"/>
        </w:numPr>
        <w:tabs>
          <w:tab w:val="left" w:pos="851"/>
        </w:tabs>
        <w:rPr>
          <w:rFonts w:ascii="Times New Roman" w:hAnsi="Times New Roman"/>
          <w:bCs/>
          <w:szCs w:val="24"/>
        </w:rPr>
      </w:pPr>
      <w:r>
        <w:rPr>
          <w:szCs w:val="24"/>
        </w:rPr>
        <w:t xml:space="preserve">X. </w:t>
      </w:r>
      <w:r w:rsidR="0060518D" w:rsidRPr="00206301">
        <w:rPr>
          <w:szCs w:val="24"/>
        </w:rPr>
        <w:t xml:space="preserve">Sun, </w:t>
      </w:r>
      <w:r>
        <w:rPr>
          <w:szCs w:val="24"/>
        </w:rPr>
        <w:t xml:space="preserve">Q. </w:t>
      </w:r>
      <w:r w:rsidR="0060518D" w:rsidRPr="00206301">
        <w:rPr>
          <w:szCs w:val="24"/>
        </w:rPr>
        <w:t xml:space="preserve">Wei, </w:t>
      </w:r>
      <w:r>
        <w:rPr>
          <w:szCs w:val="24"/>
        </w:rPr>
        <w:t xml:space="preserve">J. </w:t>
      </w:r>
      <w:r w:rsidR="0060518D" w:rsidRPr="00206301">
        <w:rPr>
          <w:szCs w:val="24"/>
        </w:rPr>
        <w:t xml:space="preserve">Cheng, </w:t>
      </w:r>
      <w:r>
        <w:rPr>
          <w:szCs w:val="24"/>
        </w:rPr>
        <w:t xml:space="preserve">Y. </w:t>
      </w:r>
      <w:r w:rsidR="0060518D" w:rsidRPr="00206301">
        <w:rPr>
          <w:szCs w:val="24"/>
        </w:rPr>
        <w:t xml:space="preserve">Bian, </w:t>
      </w:r>
      <w:r>
        <w:rPr>
          <w:szCs w:val="24"/>
        </w:rPr>
        <w:t xml:space="preserve">C. </w:t>
      </w:r>
      <w:r w:rsidR="0060518D" w:rsidRPr="00206301">
        <w:rPr>
          <w:szCs w:val="24"/>
        </w:rPr>
        <w:t xml:space="preserve">Tian, </w:t>
      </w:r>
      <w:r>
        <w:rPr>
          <w:szCs w:val="24"/>
        </w:rPr>
        <w:t xml:space="preserve">Y. </w:t>
      </w:r>
      <w:r w:rsidR="0060518D" w:rsidRPr="00206301">
        <w:rPr>
          <w:szCs w:val="24"/>
        </w:rPr>
        <w:t xml:space="preserve">Hu, </w:t>
      </w:r>
      <w:r>
        <w:rPr>
          <w:szCs w:val="24"/>
        </w:rPr>
        <w:t xml:space="preserve">H. </w:t>
      </w:r>
      <w:r w:rsidR="0060518D" w:rsidRPr="00206301">
        <w:rPr>
          <w:szCs w:val="24"/>
        </w:rPr>
        <w:t>Li, Enhanced Stim1 expression is associated with acquired chemo- resistance of cisplatin in osteosarcoma cells</w:t>
      </w:r>
      <w:r>
        <w:rPr>
          <w:szCs w:val="24"/>
        </w:rPr>
        <w:t>,</w:t>
      </w:r>
      <w:r w:rsidRPr="00206301">
        <w:rPr>
          <w:szCs w:val="24"/>
        </w:rPr>
        <w:t xml:space="preserve"> </w:t>
      </w:r>
      <w:r w:rsidR="0060518D" w:rsidRPr="00C938B1">
        <w:rPr>
          <w:szCs w:val="24"/>
        </w:rPr>
        <w:t>Human Cell.</w:t>
      </w:r>
      <w:r w:rsidR="0060518D" w:rsidRPr="00206301">
        <w:rPr>
          <w:szCs w:val="24"/>
        </w:rPr>
        <w:t xml:space="preserve"> </w:t>
      </w:r>
      <w:r w:rsidRPr="005C673F">
        <w:rPr>
          <w:szCs w:val="24"/>
        </w:rPr>
        <w:t>30 (</w:t>
      </w:r>
      <w:r w:rsidR="0060518D" w:rsidRPr="005C673F">
        <w:rPr>
          <w:szCs w:val="24"/>
        </w:rPr>
        <w:t>2017</w:t>
      </w:r>
      <w:r w:rsidRPr="005C673F">
        <w:rPr>
          <w:szCs w:val="24"/>
        </w:rPr>
        <w:t>)</w:t>
      </w:r>
      <w:r w:rsidR="0060518D" w:rsidRPr="00206301">
        <w:rPr>
          <w:szCs w:val="24"/>
        </w:rPr>
        <w:t xml:space="preserve"> 216-225.</w:t>
      </w:r>
    </w:p>
    <w:p w14:paraId="46C539E9" w14:textId="4808D81A" w:rsidR="00F76D1C" w:rsidRPr="00206301" w:rsidRDefault="00F76D1C" w:rsidP="00FA303D">
      <w:pPr>
        <w:pStyle w:val="TFReferencesSection"/>
        <w:numPr>
          <w:ilvl w:val="0"/>
          <w:numId w:val="1"/>
        </w:numPr>
        <w:tabs>
          <w:tab w:val="left" w:pos="851"/>
        </w:tabs>
        <w:rPr>
          <w:rFonts w:ascii="Times New Roman" w:hAnsi="Times New Roman"/>
          <w:bCs/>
          <w:szCs w:val="24"/>
        </w:rPr>
      </w:pPr>
      <w:r w:rsidRPr="00206301">
        <w:rPr>
          <w:rFonts w:ascii="Times New Roman" w:hAnsi="Times New Roman"/>
          <w:bCs/>
          <w:szCs w:val="24"/>
        </w:rPr>
        <w:t xml:space="preserve">Evaluation of the role and pharmacological modulation of signaling involved in the inflammation, metabolic-mechanical coupling and regeneration of skeletal muscle in murine model of Duchenne Muscular Dystrophy and polymyosite: novel therapeutic perspective </w:t>
      </w:r>
      <w:r w:rsidRPr="00206301">
        <w:rPr>
          <w:bCs/>
          <w:szCs w:val="24"/>
        </w:rPr>
        <w:t>DGSAF0024012</w:t>
      </w:r>
      <w:r w:rsidRPr="00206301">
        <w:rPr>
          <w:rFonts w:ascii="Times New Roman" w:hAnsi="Times New Roman"/>
          <w:bCs/>
          <w:szCs w:val="24"/>
        </w:rPr>
        <w:t>.</w:t>
      </w:r>
    </w:p>
    <w:p w14:paraId="04E1E0F9" w14:textId="0870EA76" w:rsidR="00184EFE" w:rsidRPr="00CD5941" w:rsidRDefault="00B66C8F" w:rsidP="00FA303D">
      <w:pPr>
        <w:pStyle w:val="TFReferencesSection"/>
        <w:numPr>
          <w:ilvl w:val="0"/>
          <w:numId w:val="1"/>
        </w:numPr>
        <w:tabs>
          <w:tab w:val="left" w:pos="851"/>
        </w:tabs>
        <w:rPr>
          <w:rFonts w:ascii="Times New Roman" w:hAnsi="Times New Roman"/>
          <w:bCs/>
          <w:szCs w:val="24"/>
        </w:rPr>
      </w:pPr>
      <w:r>
        <w:rPr>
          <w:szCs w:val="24"/>
        </w:rPr>
        <w:t xml:space="preserve">M. </w:t>
      </w:r>
      <w:r w:rsidR="00184EFE" w:rsidRPr="00206301">
        <w:rPr>
          <w:szCs w:val="24"/>
        </w:rPr>
        <w:t xml:space="preserve">Feoktistova, </w:t>
      </w:r>
      <w:r>
        <w:rPr>
          <w:szCs w:val="24"/>
        </w:rPr>
        <w:t xml:space="preserve">P. </w:t>
      </w:r>
      <w:r w:rsidR="00184EFE" w:rsidRPr="00206301">
        <w:rPr>
          <w:szCs w:val="24"/>
        </w:rPr>
        <w:t xml:space="preserve">Geserick, </w:t>
      </w:r>
      <w:r>
        <w:rPr>
          <w:szCs w:val="24"/>
        </w:rPr>
        <w:t xml:space="preserve">M. </w:t>
      </w:r>
      <w:r w:rsidR="00184EFE" w:rsidRPr="00206301">
        <w:rPr>
          <w:szCs w:val="24"/>
        </w:rPr>
        <w:t xml:space="preserve">Leverkus, </w:t>
      </w:r>
      <w:r w:rsidR="00184EFE" w:rsidRPr="00D85C4C">
        <w:rPr>
          <w:szCs w:val="24"/>
        </w:rPr>
        <w:t>Crystal Violet Assay for Determining Viability of Cultured Cells</w:t>
      </w:r>
      <w:r>
        <w:rPr>
          <w:szCs w:val="24"/>
        </w:rPr>
        <w:t>,</w:t>
      </w:r>
      <w:r w:rsidR="00184EFE" w:rsidRPr="00D85C4C">
        <w:rPr>
          <w:szCs w:val="24"/>
        </w:rPr>
        <w:t xml:space="preserve"> </w:t>
      </w:r>
      <w:r w:rsidR="00184EFE" w:rsidRPr="00B66C8F">
        <w:rPr>
          <w:szCs w:val="24"/>
        </w:rPr>
        <w:t>Cold Spring Harbor protocols</w:t>
      </w:r>
      <w:r w:rsidRPr="00B66C8F">
        <w:rPr>
          <w:szCs w:val="24"/>
        </w:rPr>
        <w:t xml:space="preserve">, </w:t>
      </w:r>
      <w:r w:rsidR="00184EFE" w:rsidRPr="00B66C8F">
        <w:rPr>
          <w:rFonts w:ascii="Arial" w:hAnsi="Arial" w:cs="Arial"/>
          <w:szCs w:val="24"/>
        </w:rPr>
        <w:t>2016-4</w:t>
      </w:r>
      <w:r w:rsidR="00184EFE" w:rsidRPr="00D85C4C">
        <w:rPr>
          <w:rFonts w:ascii="Arial" w:hAnsi="Arial" w:cs="Arial"/>
          <w:b/>
          <w:szCs w:val="24"/>
        </w:rPr>
        <w:t xml:space="preserve"> </w:t>
      </w:r>
      <w:r w:rsidR="00184EFE" w:rsidRPr="00D85C4C">
        <w:rPr>
          <w:szCs w:val="24"/>
        </w:rPr>
        <w:t>doi: 10.1101/pdb.prot087379</w:t>
      </w:r>
      <w:r w:rsidR="00184EFE" w:rsidRPr="00D85C4C">
        <w:rPr>
          <w:rFonts w:ascii="Arial" w:hAnsi="Arial" w:cs="Arial"/>
          <w:szCs w:val="24"/>
        </w:rPr>
        <w:t>.</w:t>
      </w:r>
    </w:p>
    <w:p w14:paraId="16572D79" w14:textId="00B61F0F" w:rsidR="00F76D1C" w:rsidRPr="00206301" w:rsidRDefault="00B66C8F" w:rsidP="00313F11">
      <w:pPr>
        <w:pStyle w:val="TFReferencesSection"/>
        <w:numPr>
          <w:ilvl w:val="0"/>
          <w:numId w:val="1"/>
        </w:numPr>
        <w:tabs>
          <w:tab w:val="left" w:pos="851"/>
        </w:tabs>
        <w:rPr>
          <w:rFonts w:ascii="Times New Roman" w:hAnsi="Times New Roman"/>
          <w:bCs/>
          <w:szCs w:val="24"/>
        </w:rPr>
      </w:pPr>
      <w:r w:rsidRPr="00CD5941">
        <w:rPr>
          <w:rFonts w:cs="Arial"/>
          <w:szCs w:val="24"/>
          <w:lang w:val="it-IT"/>
        </w:rPr>
        <w:t xml:space="preserve">A. </w:t>
      </w:r>
      <w:r w:rsidR="00F76D1C" w:rsidRPr="00CD5941">
        <w:rPr>
          <w:rFonts w:cs="Arial"/>
          <w:szCs w:val="24"/>
          <w:lang w:val="it-IT"/>
        </w:rPr>
        <w:t xml:space="preserve">Curci, </w:t>
      </w:r>
      <w:r w:rsidRPr="00CD5941">
        <w:rPr>
          <w:rFonts w:cs="Arial"/>
          <w:szCs w:val="24"/>
          <w:lang w:val="it-IT"/>
        </w:rPr>
        <w:t>F.</w:t>
      </w:r>
      <w:r w:rsidR="00F76D1C" w:rsidRPr="00CD5941">
        <w:rPr>
          <w:rFonts w:cs="Arial"/>
          <w:szCs w:val="24"/>
          <w:lang w:val="it-IT"/>
        </w:rPr>
        <w:t xml:space="preserve"> Maqoud, </w:t>
      </w:r>
      <w:r w:rsidRPr="00CD5941">
        <w:rPr>
          <w:rFonts w:cs="Arial"/>
          <w:szCs w:val="24"/>
          <w:lang w:val="it-IT"/>
        </w:rPr>
        <w:t>.A</w:t>
      </w:r>
      <w:r w:rsidR="00F76D1C" w:rsidRPr="00CD5941">
        <w:rPr>
          <w:rFonts w:cs="Arial"/>
          <w:szCs w:val="24"/>
          <w:lang w:val="it-IT"/>
        </w:rPr>
        <w:t xml:space="preserve"> Mele, </w:t>
      </w:r>
      <w:r w:rsidRPr="00CD5941">
        <w:rPr>
          <w:rFonts w:cs="Arial"/>
          <w:szCs w:val="24"/>
          <w:lang w:val="it-IT"/>
        </w:rPr>
        <w:t>M.</w:t>
      </w:r>
      <w:r w:rsidR="00F76D1C" w:rsidRPr="00CD5941">
        <w:rPr>
          <w:rFonts w:cs="Arial"/>
          <w:szCs w:val="24"/>
          <w:lang w:val="it-IT"/>
        </w:rPr>
        <w:t xml:space="preserve"> Cetrone, </w:t>
      </w:r>
      <w:r w:rsidRPr="00CD5941">
        <w:rPr>
          <w:rFonts w:cs="Arial"/>
          <w:szCs w:val="24"/>
          <w:lang w:val="it-IT"/>
        </w:rPr>
        <w:t>M.</w:t>
      </w:r>
      <w:r w:rsidR="00F76D1C" w:rsidRPr="00CD5941">
        <w:rPr>
          <w:rFonts w:cs="Arial"/>
          <w:szCs w:val="24"/>
          <w:lang w:val="it-IT"/>
        </w:rPr>
        <w:t xml:space="preserve"> Angelelli, </w:t>
      </w:r>
      <w:r w:rsidRPr="00CD5941">
        <w:rPr>
          <w:rFonts w:cs="Arial"/>
          <w:szCs w:val="24"/>
          <w:lang w:val="it-IT"/>
        </w:rPr>
        <w:t>N.</w:t>
      </w:r>
      <w:r w:rsidR="00F76D1C" w:rsidRPr="00CD5941">
        <w:rPr>
          <w:rFonts w:cs="Arial"/>
          <w:szCs w:val="24"/>
          <w:lang w:val="it-IT"/>
        </w:rPr>
        <w:t xml:space="preserve"> Zizzo, N</w:t>
      </w:r>
      <w:r w:rsidRPr="00CD5941">
        <w:rPr>
          <w:rFonts w:cs="Arial"/>
          <w:szCs w:val="24"/>
          <w:lang w:val="it-IT"/>
        </w:rPr>
        <w:t xml:space="preserve">D. </w:t>
      </w:r>
      <w:r w:rsidR="00F76D1C" w:rsidRPr="006A6457">
        <w:rPr>
          <w:rFonts w:cs="Arial"/>
          <w:szCs w:val="24"/>
        </w:rPr>
        <w:t xml:space="preserve">Tricarico, </w:t>
      </w:r>
      <w:r w:rsidR="00F76D1C" w:rsidRPr="00733238">
        <w:rPr>
          <w:rFonts w:cs="Arial"/>
          <w:bCs/>
          <w:szCs w:val="24"/>
        </w:rPr>
        <w:t>Antiproliferative effects of neuroprotective drugs targeting big Ca</w:t>
      </w:r>
      <w:r w:rsidR="00F76D1C" w:rsidRPr="00D85C4C">
        <w:rPr>
          <w:rFonts w:cs="Arial"/>
          <w:bCs/>
          <w:szCs w:val="24"/>
          <w:vertAlign w:val="superscript"/>
        </w:rPr>
        <w:t>2+</w:t>
      </w:r>
      <w:r w:rsidR="00F76D1C" w:rsidRPr="00D85C4C">
        <w:rPr>
          <w:rFonts w:cs="Arial"/>
          <w:bCs/>
          <w:szCs w:val="24"/>
        </w:rPr>
        <w:t>-activated K</w:t>
      </w:r>
      <w:r w:rsidR="00F76D1C" w:rsidRPr="00D85C4C">
        <w:rPr>
          <w:rFonts w:cs="Arial"/>
          <w:bCs/>
          <w:szCs w:val="24"/>
          <w:vertAlign w:val="superscript"/>
        </w:rPr>
        <w:t>+</w:t>
      </w:r>
      <w:r w:rsidR="00F76D1C" w:rsidRPr="00D85C4C">
        <w:rPr>
          <w:rFonts w:cs="Arial"/>
          <w:bCs/>
          <w:szCs w:val="24"/>
        </w:rPr>
        <w:t>(BK) channel in the undifferentiated neurobl</w:t>
      </w:r>
      <w:r w:rsidR="00F76D1C" w:rsidRPr="006A6457">
        <w:rPr>
          <w:rFonts w:cs="Arial"/>
          <w:bCs/>
          <w:szCs w:val="24"/>
        </w:rPr>
        <w:t>astoma cells</w:t>
      </w:r>
      <w:r>
        <w:rPr>
          <w:rFonts w:cs="Arial"/>
          <w:szCs w:val="24"/>
        </w:rPr>
        <w:t>,</w:t>
      </w:r>
      <w:r w:rsidR="00F76D1C" w:rsidRPr="00733238">
        <w:rPr>
          <w:rFonts w:cs="Arial"/>
          <w:szCs w:val="24"/>
        </w:rPr>
        <w:t xml:space="preserve"> </w:t>
      </w:r>
      <w:r w:rsidR="00F76D1C" w:rsidRPr="006B7768">
        <w:rPr>
          <w:rFonts w:cs="Arial"/>
          <w:bCs/>
          <w:szCs w:val="24"/>
        </w:rPr>
        <w:t xml:space="preserve">Current Topics in Pharmacology </w:t>
      </w:r>
      <w:r w:rsidR="00F76D1C" w:rsidRPr="006B7768">
        <w:rPr>
          <w:rFonts w:cs="Arial"/>
          <w:szCs w:val="24"/>
        </w:rPr>
        <w:t>Research Trends</w:t>
      </w:r>
      <w:r w:rsidR="00F76D1C" w:rsidRPr="00B66C8F">
        <w:rPr>
          <w:rFonts w:cs="Arial"/>
          <w:szCs w:val="24"/>
        </w:rPr>
        <w:t xml:space="preserve">. </w:t>
      </w:r>
      <w:r>
        <w:rPr>
          <w:rFonts w:cs="Arial"/>
          <w:szCs w:val="24"/>
        </w:rPr>
        <w:t>20 (</w:t>
      </w:r>
      <w:r w:rsidR="00F76D1C" w:rsidRPr="005C673F">
        <w:rPr>
          <w:rFonts w:cs="Arial"/>
          <w:szCs w:val="24"/>
        </w:rPr>
        <w:t>2016</w:t>
      </w:r>
      <w:r>
        <w:rPr>
          <w:rFonts w:cs="Arial"/>
          <w:b/>
          <w:szCs w:val="24"/>
        </w:rPr>
        <w:t>)</w:t>
      </w:r>
      <w:r w:rsidR="00F76D1C" w:rsidRPr="00206301">
        <w:rPr>
          <w:rFonts w:cs="Arial"/>
          <w:szCs w:val="24"/>
        </w:rPr>
        <w:t xml:space="preserve"> 113 – 131</w:t>
      </w:r>
      <w:r w:rsidR="00F76D1C" w:rsidRPr="00206301">
        <w:rPr>
          <w:szCs w:val="24"/>
        </w:rPr>
        <w:t>.</w:t>
      </w:r>
    </w:p>
    <w:p w14:paraId="2EF5F8E5" w14:textId="2B12AD92" w:rsidR="000E2467" w:rsidRPr="00CD5941" w:rsidRDefault="000357B1" w:rsidP="00CB7B52">
      <w:pPr>
        <w:pStyle w:val="TFReferencesSection"/>
        <w:numPr>
          <w:ilvl w:val="0"/>
          <w:numId w:val="1"/>
        </w:numPr>
        <w:tabs>
          <w:tab w:val="left" w:pos="851"/>
        </w:tabs>
        <w:rPr>
          <w:rFonts w:ascii="Times New Roman" w:hAnsi="Times New Roman"/>
          <w:bCs/>
          <w:szCs w:val="24"/>
        </w:rPr>
      </w:pPr>
      <w:r>
        <w:rPr>
          <w:rFonts w:ascii="Times New Roman" w:hAnsi="Times New Roman"/>
          <w:bCs/>
          <w:szCs w:val="24"/>
        </w:rPr>
        <w:t xml:space="preserve">T. </w:t>
      </w:r>
      <w:r w:rsidR="000E2467" w:rsidRPr="00206301">
        <w:rPr>
          <w:rFonts w:ascii="Times New Roman" w:hAnsi="Times New Roman"/>
          <w:bCs/>
          <w:szCs w:val="24"/>
        </w:rPr>
        <w:t xml:space="preserve">Bellido, </w:t>
      </w:r>
      <w:r>
        <w:rPr>
          <w:rFonts w:ascii="Times New Roman" w:hAnsi="Times New Roman"/>
          <w:bCs/>
          <w:szCs w:val="24"/>
        </w:rPr>
        <w:t>L.I.</w:t>
      </w:r>
      <w:r w:rsidR="000E2467" w:rsidRPr="00206301">
        <w:rPr>
          <w:rFonts w:ascii="Times New Roman" w:hAnsi="Times New Roman"/>
          <w:bCs/>
          <w:szCs w:val="24"/>
        </w:rPr>
        <w:t xml:space="preserve"> Plotkin, Novel actions of bisphosphonates in bone: Preservation of osteoblast and osteocyte viability</w:t>
      </w:r>
      <w:r>
        <w:rPr>
          <w:rFonts w:ascii="Times New Roman" w:hAnsi="Times New Roman"/>
          <w:bCs/>
          <w:szCs w:val="24"/>
        </w:rPr>
        <w:t>,</w:t>
      </w:r>
      <w:r w:rsidRPr="00206301">
        <w:rPr>
          <w:rFonts w:ascii="Times New Roman" w:hAnsi="Times New Roman"/>
          <w:bCs/>
          <w:szCs w:val="24"/>
        </w:rPr>
        <w:t xml:space="preserve"> </w:t>
      </w:r>
      <w:r w:rsidR="000E2467" w:rsidRPr="000357B1">
        <w:rPr>
          <w:rFonts w:ascii="Times New Roman" w:hAnsi="Times New Roman"/>
          <w:bCs/>
          <w:szCs w:val="24"/>
        </w:rPr>
        <w:t>Bone</w:t>
      </w:r>
      <w:r w:rsidRPr="00493504">
        <w:rPr>
          <w:rFonts w:ascii="Times New Roman" w:hAnsi="Times New Roman"/>
          <w:bCs/>
          <w:szCs w:val="24"/>
        </w:rPr>
        <w:t xml:space="preserve"> 49</w:t>
      </w:r>
      <w:r>
        <w:rPr>
          <w:rFonts w:ascii="Times New Roman" w:hAnsi="Times New Roman"/>
          <w:b/>
          <w:bCs/>
          <w:szCs w:val="24"/>
        </w:rPr>
        <w:t xml:space="preserve"> </w:t>
      </w:r>
      <w:r w:rsidRPr="000357B1">
        <w:rPr>
          <w:rFonts w:ascii="Times New Roman" w:hAnsi="Times New Roman"/>
          <w:bCs/>
          <w:szCs w:val="24"/>
        </w:rPr>
        <w:t>(</w:t>
      </w:r>
      <w:r w:rsidR="000E2467" w:rsidRPr="000357B1">
        <w:rPr>
          <w:rFonts w:ascii="Times New Roman" w:hAnsi="Times New Roman"/>
          <w:bCs/>
          <w:szCs w:val="24"/>
        </w:rPr>
        <w:t>2011</w:t>
      </w:r>
      <w:r w:rsidRPr="000357B1">
        <w:rPr>
          <w:rFonts w:ascii="Times New Roman" w:hAnsi="Times New Roman"/>
          <w:bCs/>
          <w:szCs w:val="24"/>
        </w:rPr>
        <w:t>)</w:t>
      </w:r>
      <w:r w:rsidR="000E2467" w:rsidRPr="00206301">
        <w:rPr>
          <w:rFonts w:ascii="Times New Roman" w:hAnsi="Times New Roman"/>
          <w:bCs/>
          <w:szCs w:val="24"/>
        </w:rPr>
        <w:t xml:space="preserve"> 50–55.</w:t>
      </w:r>
    </w:p>
    <w:p w14:paraId="7B1E7257" w14:textId="65CD459E" w:rsidR="00E918C9" w:rsidRPr="00CD5941" w:rsidRDefault="00493504">
      <w:pPr>
        <w:pStyle w:val="TFReferencesSection"/>
        <w:numPr>
          <w:ilvl w:val="0"/>
          <w:numId w:val="1"/>
        </w:numPr>
        <w:tabs>
          <w:tab w:val="left" w:pos="851"/>
        </w:tabs>
        <w:rPr>
          <w:rFonts w:ascii="Times New Roman" w:hAnsi="Times New Roman"/>
          <w:bCs/>
          <w:szCs w:val="24"/>
        </w:rPr>
      </w:pPr>
      <w:r>
        <w:rPr>
          <w:szCs w:val="24"/>
        </w:rPr>
        <w:lastRenderedPageBreak/>
        <w:t xml:space="preserve">C. </w:t>
      </w:r>
      <w:r w:rsidR="00E918C9" w:rsidRPr="00206301">
        <w:rPr>
          <w:szCs w:val="24"/>
        </w:rPr>
        <w:t xml:space="preserve">Jung-Yoon, </w:t>
      </w:r>
      <w:r>
        <w:rPr>
          <w:szCs w:val="24"/>
        </w:rPr>
        <w:t>K.</w:t>
      </w:r>
      <w:r w:rsidR="00E918C9" w:rsidRPr="00206301">
        <w:rPr>
          <w:szCs w:val="24"/>
        </w:rPr>
        <w:t xml:space="preserve"> Seong-Kyu, Melittin inhibits osteoclast formation through the downregolation of the RANKL-RANK signaling pathway and the inhibition of interleukin-1</w:t>
      </w:r>
      <w:r w:rsidR="00E918C9" w:rsidRPr="00D85C4C">
        <w:rPr>
          <w:rFonts w:cs="Times"/>
          <w:szCs w:val="24"/>
          <w:lang w:val="it-IT"/>
        </w:rPr>
        <w:t>β</w:t>
      </w:r>
      <w:r w:rsidR="00E918C9" w:rsidRPr="00D85C4C">
        <w:rPr>
          <w:rFonts w:cs="Times"/>
          <w:szCs w:val="24"/>
        </w:rPr>
        <w:t xml:space="preserve"> </w:t>
      </w:r>
      <w:r w:rsidR="00E918C9" w:rsidRPr="00D85C4C">
        <w:rPr>
          <w:szCs w:val="24"/>
        </w:rPr>
        <w:t>in murine macrophages</w:t>
      </w:r>
      <w:r>
        <w:rPr>
          <w:szCs w:val="24"/>
        </w:rPr>
        <w:t>,</w:t>
      </w:r>
      <w:r w:rsidRPr="00D85C4C">
        <w:rPr>
          <w:szCs w:val="24"/>
        </w:rPr>
        <w:t xml:space="preserve"> </w:t>
      </w:r>
      <w:r w:rsidR="009477EE" w:rsidRPr="00CD5941">
        <w:rPr>
          <w:szCs w:val="24"/>
        </w:rPr>
        <w:t>Int. J. Mol. Med.</w:t>
      </w:r>
      <w:r w:rsidR="00E918C9" w:rsidRPr="00CD5941">
        <w:rPr>
          <w:szCs w:val="24"/>
        </w:rPr>
        <w:t xml:space="preserve"> </w:t>
      </w:r>
      <w:r w:rsidRPr="00CD5941">
        <w:rPr>
          <w:szCs w:val="24"/>
        </w:rPr>
        <w:t>39 (</w:t>
      </w:r>
      <w:r w:rsidR="00E918C9" w:rsidRPr="00CD5941">
        <w:rPr>
          <w:szCs w:val="24"/>
        </w:rPr>
        <w:t>2017</w:t>
      </w:r>
      <w:r w:rsidRPr="00CD5941">
        <w:rPr>
          <w:szCs w:val="24"/>
        </w:rPr>
        <w:t>)</w:t>
      </w:r>
      <w:r w:rsidR="00E918C9" w:rsidRPr="00CD5941">
        <w:rPr>
          <w:szCs w:val="24"/>
        </w:rPr>
        <w:t xml:space="preserve"> 539-548.</w:t>
      </w:r>
    </w:p>
    <w:p w14:paraId="5C61E7A3" w14:textId="68C88822" w:rsidR="007778B6" w:rsidRPr="00206301" w:rsidRDefault="007778B6">
      <w:pPr>
        <w:pStyle w:val="TFReferencesSection"/>
        <w:numPr>
          <w:ilvl w:val="0"/>
          <w:numId w:val="1"/>
        </w:numPr>
        <w:tabs>
          <w:tab w:val="left" w:pos="851"/>
        </w:tabs>
        <w:rPr>
          <w:rFonts w:ascii="Times New Roman" w:hAnsi="Times New Roman"/>
          <w:bCs/>
          <w:szCs w:val="24"/>
        </w:rPr>
      </w:pPr>
      <w:r w:rsidRPr="00206301">
        <w:rPr>
          <w:szCs w:val="24"/>
        </w:rPr>
        <w:t>Schrodinger Release 2017−4. Maestro, version 11.4, Epik, version 4.2, MacroModel version 11.8, Glide version 7.7; Schrodinger, LLC: New York, 2017.</w:t>
      </w:r>
    </w:p>
    <w:sectPr w:rsidR="007778B6" w:rsidRPr="00206301" w:rsidSect="00BC56E2">
      <w:pgSz w:w="11900" w:h="16840"/>
      <w:pgMar w:top="1417" w:right="1134" w:bottom="1134" w:left="1134" w:header="708" w:footer="708" w:gutter="0"/>
      <w:cols w:space="708"/>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PAF" w:date="2018-07-12T21:19:00Z" w:initials="P">
    <w:p w14:paraId="631BA139" w14:textId="0AC3008C" w:rsidR="00167830" w:rsidRDefault="00167830">
      <w:pPr>
        <w:pStyle w:val="Testocommento"/>
      </w:pPr>
      <w:r>
        <w:rPr>
          <w:rStyle w:val="Rimandocommento"/>
        </w:rPr>
        <w:annotationRef/>
      </w:r>
      <w:r>
        <w:t>This way was chosen instead of the most common synthetic procedures reported in literature in order to overcome the instability of N-aryl carboxylic chloride</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31BA13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31BA139" w16cid:durableId="1EF2444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4358A6" w14:textId="77777777" w:rsidR="000C0961" w:rsidRDefault="000C0961" w:rsidP="00303C47">
      <w:r>
        <w:separator/>
      </w:r>
    </w:p>
  </w:endnote>
  <w:endnote w:type="continuationSeparator" w:id="0">
    <w:p w14:paraId="445E8A9F" w14:textId="77777777" w:rsidR="000C0961" w:rsidRDefault="000C0961" w:rsidP="00303C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NewRomanPS-BoldMT">
    <w:altName w:val="Times New Roman"/>
    <w:panose1 w:val="00000000000000000000"/>
    <w:charset w:val="4D"/>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Arno Pro">
    <w:altName w:val="Times New Roman"/>
    <w:panose1 w:val="00000000000000000000"/>
    <w:charset w:val="00"/>
    <w:family w:val="roman"/>
    <w:notTrueType/>
    <w:pitch w:val="variable"/>
    <w:sig w:usb0="60000287" w:usb1="00000001" w:usb2="00000000" w:usb3="00000000" w:csb0="0000019F" w:csb1="00000000"/>
  </w:font>
  <w:font w:name="New York">
    <w:altName w:val="Times New Roman"/>
    <w:panose1 w:val="02040503060506020304"/>
    <w:charset w:val="00"/>
    <w:family w:val="roman"/>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dvOT863180fb">
    <w:panose1 w:val="00000000000000000000"/>
    <w:charset w:val="00"/>
    <w:family w:val="roman"/>
    <w:notTrueType/>
    <w:pitch w:val="default"/>
    <w:sig w:usb0="00000003" w:usb1="00000000" w:usb2="00000000" w:usb3="00000000" w:csb0="00000001" w:csb1="00000000"/>
  </w:font>
  <w:font w:name="AdvPS44A44B">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BoldMT">
    <w:charset w:val="00"/>
    <w:family w:val="auto"/>
    <w:pitch w:val="variable"/>
    <w:sig w:usb0="E0002AFF" w:usb1="C0007843" w:usb2="00000009" w:usb3="00000000" w:csb0="000001FF" w:csb1="00000000"/>
  </w:font>
  <w:font w:name="TimesNewRomanPSMT">
    <w:altName w:val="Times New Roman"/>
    <w:charset w:val="00"/>
    <w:family w:val="auto"/>
    <w:pitch w:val="variable"/>
    <w:sig w:usb0="E0002AEF" w:usb1="C0007841" w:usb2="00000009" w:usb3="00000000" w:csb0="000001FF" w:csb1="00000000"/>
  </w:font>
  <w:font w:name="Cheltenham-Book">
    <w:altName w:val="Times New Roman"/>
    <w:panose1 w:val="00000000000000000000"/>
    <w:charset w:val="4D"/>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EAA8FA" w14:textId="77777777" w:rsidR="000C0961" w:rsidRDefault="000C0961" w:rsidP="00303C47">
      <w:r>
        <w:separator/>
      </w:r>
    </w:p>
  </w:footnote>
  <w:footnote w:type="continuationSeparator" w:id="0">
    <w:p w14:paraId="23397E9F" w14:textId="77777777" w:rsidR="000C0961" w:rsidRDefault="000C0961" w:rsidP="00303C4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D2900"/>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E51956"/>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D917FBE"/>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35C3D35"/>
    <w:multiLevelType w:val="hybridMultilevel"/>
    <w:tmpl w:val="0B0ADBE0"/>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9"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1"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2"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3"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4" w15:restartNumberingAfterBreak="0">
    <w:nsid w:val="53D713BC"/>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B4B1D93"/>
    <w:multiLevelType w:val="hybridMultilevel"/>
    <w:tmpl w:val="93721DDE"/>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BEE74E1"/>
    <w:multiLevelType w:val="hybridMultilevel"/>
    <w:tmpl w:val="529EC9F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D6C54D1"/>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DAC6B2D"/>
    <w:multiLevelType w:val="hybridMultilevel"/>
    <w:tmpl w:val="B532C6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E901616"/>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74ED6E97"/>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67D658F"/>
    <w:multiLevelType w:val="hybridMultilevel"/>
    <w:tmpl w:val="00062F42"/>
    <w:lvl w:ilvl="0" w:tplc="41E2E3C0">
      <w:start w:val="1"/>
      <w:numFmt w:val="decimal"/>
      <w:lvlText w:val="(%1)"/>
      <w:lvlJc w:val="left"/>
      <w:pPr>
        <w:ind w:left="720" w:hanging="360"/>
      </w:pPr>
      <w:rPr>
        <w:rFonts w:ascii="TimesNewRomanPS-BoldMT" w:hAnsi="TimesNewRomanPS-BoldMT" w:cs="TimesNewRomanPS-Bold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3"/>
  </w:num>
  <w:num w:numId="3">
    <w:abstractNumId w:val="21"/>
  </w:num>
  <w:num w:numId="4">
    <w:abstractNumId w:val="0"/>
  </w:num>
  <w:num w:numId="5">
    <w:abstractNumId w:val="17"/>
  </w:num>
  <w:num w:numId="6">
    <w:abstractNumId w:val="12"/>
  </w:num>
  <w:num w:numId="7">
    <w:abstractNumId w:val="14"/>
  </w:num>
  <w:num w:numId="8">
    <w:abstractNumId w:val="20"/>
  </w:num>
  <w:num w:numId="9">
    <w:abstractNumId w:val="2"/>
  </w:num>
  <w:num w:numId="10">
    <w:abstractNumId w:val="18"/>
  </w:num>
  <w:num w:numId="11">
    <w:abstractNumId w:val="10"/>
  </w:num>
  <w:num w:numId="12">
    <w:abstractNumId w:val="13"/>
  </w:num>
  <w:num w:numId="13">
    <w:abstractNumId w:val="11"/>
  </w:num>
  <w:num w:numId="14">
    <w:abstractNumId w:val="9"/>
  </w:num>
  <w:num w:numId="15">
    <w:abstractNumId w:val="8"/>
  </w:num>
  <w:num w:numId="16">
    <w:abstractNumId w:val="7"/>
  </w:num>
  <w:num w:numId="17">
    <w:abstractNumId w:val="5"/>
  </w:num>
  <w:num w:numId="18">
    <w:abstractNumId w:val="1"/>
  </w:num>
  <w:num w:numId="19">
    <w:abstractNumId w:val="6"/>
  </w:num>
  <w:num w:numId="20">
    <w:abstractNumId w:val="15"/>
  </w:num>
  <w:num w:numId="21">
    <w:abstractNumId w:val="16"/>
  </w:num>
  <w:num w:numId="22">
    <w:abstractNumId w:val="19"/>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AF">
    <w15:presenceInfo w15:providerId="None" w15:userId="P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IxMTA1NjUyMzU0MzdV0lEKTi0uzszPAykwrQUABae3ECwAAAA="/>
  </w:docVars>
  <w:rsids>
    <w:rsidRoot w:val="006B44F4"/>
    <w:rsid w:val="00004A0E"/>
    <w:rsid w:val="00005C7C"/>
    <w:rsid w:val="00011D11"/>
    <w:rsid w:val="00013CFD"/>
    <w:rsid w:val="00016B9D"/>
    <w:rsid w:val="000268D2"/>
    <w:rsid w:val="000357B1"/>
    <w:rsid w:val="00037A1E"/>
    <w:rsid w:val="000467EF"/>
    <w:rsid w:val="00046D5F"/>
    <w:rsid w:val="000526E4"/>
    <w:rsid w:val="00052B2D"/>
    <w:rsid w:val="00064224"/>
    <w:rsid w:val="00065334"/>
    <w:rsid w:val="00067CD0"/>
    <w:rsid w:val="000761B4"/>
    <w:rsid w:val="000776AF"/>
    <w:rsid w:val="0008100E"/>
    <w:rsid w:val="00081B2A"/>
    <w:rsid w:val="000929C6"/>
    <w:rsid w:val="0009427E"/>
    <w:rsid w:val="00097313"/>
    <w:rsid w:val="00097ECD"/>
    <w:rsid w:val="000B2841"/>
    <w:rsid w:val="000B7968"/>
    <w:rsid w:val="000B7B63"/>
    <w:rsid w:val="000C0961"/>
    <w:rsid w:val="000C112C"/>
    <w:rsid w:val="000C6C02"/>
    <w:rsid w:val="000D271E"/>
    <w:rsid w:val="000D345B"/>
    <w:rsid w:val="000D3505"/>
    <w:rsid w:val="000D4B05"/>
    <w:rsid w:val="000D6574"/>
    <w:rsid w:val="000E2276"/>
    <w:rsid w:val="000E2467"/>
    <w:rsid w:val="000E2D63"/>
    <w:rsid w:val="000E6735"/>
    <w:rsid w:val="000F0991"/>
    <w:rsid w:val="000F0D81"/>
    <w:rsid w:val="000F7BC3"/>
    <w:rsid w:val="0010445A"/>
    <w:rsid w:val="00104B7E"/>
    <w:rsid w:val="00107E8C"/>
    <w:rsid w:val="001145DA"/>
    <w:rsid w:val="001218E9"/>
    <w:rsid w:val="0012470B"/>
    <w:rsid w:val="00141F1C"/>
    <w:rsid w:val="00143633"/>
    <w:rsid w:val="00144A62"/>
    <w:rsid w:val="00147251"/>
    <w:rsid w:val="00147421"/>
    <w:rsid w:val="00153594"/>
    <w:rsid w:val="00167830"/>
    <w:rsid w:val="00174ECD"/>
    <w:rsid w:val="0017718D"/>
    <w:rsid w:val="00181585"/>
    <w:rsid w:val="00184EFE"/>
    <w:rsid w:val="00186E8C"/>
    <w:rsid w:val="00190613"/>
    <w:rsid w:val="00192DB5"/>
    <w:rsid w:val="00197F7F"/>
    <w:rsid w:val="001A1AB4"/>
    <w:rsid w:val="001A3163"/>
    <w:rsid w:val="001A72EA"/>
    <w:rsid w:val="001B2A7A"/>
    <w:rsid w:val="001C43D7"/>
    <w:rsid w:val="001D030B"/>
    <w:rsid w:val="001D072A"/>
    <w:rsid w:val="001D2AA6"/>
    <w:rsid w:val="001D3235"/>
    <w:rsid w:val="001D6C6C"/>
    <w:rsid w:val="001D7FD7"/>
    <w:rsid w:val="001E40C2"/>
    <w:rsid w:val="00202453"/>
    <w:rsid w:val="00205D6B"/>
    <w:rsid w:val="00206301"/>
    <w:rsid w:val="00212882"/>
    <w:rsid w:val="0021356C"/>
    <w:rsid w:val="00214466"/>
    <w:rsid w:val="0022319A"/>
    <w:rsid w:val="002300B4"/>
    <w:rsid w:val="00231995"/>
    <w:rsid w:val="00233579"/>
    <w:rsid w:val="00237669"/>
    <w:rsid w:val="0025210E"/>
    <w:rsid w:val="00271130"/>
    <w:rsid w:val="002746E1"/>
    <w:rsid w:val="00292D9F"/>
    <w:rsid w:val="002A172A"/>
    <w:rsid w:val="002B409F"/>
    <w:rsid w:val="002B697C"/>
    <w:rsid w:val="002D02B9"/>
    <w:rsid w:val="002D2013"/>
    <w:rsid w:val="002D6E29"/>
    <w:rsid w:val="002E0DB9"/>
    <w:rsid w:val="002E375E"/>
    <w:rsid w:val="002E3DF1"/>
    <w:rsid w:val="002E4E84"/>
    <w:rsid w:val="002E651D"/>
    <w:rsid w:val="002F6E4C"/>
    <w:rsid w:val="00303A2D"/>
    <w:rsid w:val="00303C47"/>
    <w:rsid w:val="00313F11"/>
    <w:rsid w:val="003149C2"/>
    <w:rsid w:val="0031751D"/>
    <w:rsid w:val="00326852"/>
    <w:rsid w:val="00335514"/>
    <w:rsid w:val="00336623"/>
    <w:rsid w:val="00341905"/>
    <w:rsid w:val="00346EC5"/>
    <w:rsid w:val="003511CD"/>
    <w:rsid w:val="00353DEE"/>
    <w:rsid w:val="00355ABA"/>
    <w:rsid w:val="0036311C"/>
    <w:rsid w:val="00364BBB"/>
    <w:rsid w:val="0036561F"/>
    <w:rsid w:val="003931DF"/>
    <w:rsid w:val="003937AE"/>
    <w:rsid w:val="003A0491"/>
    <w:rsid w:val="003A414D"/>
    <w:rsid w:val="003A6F87"/>
    <w:rsid w:val="003A7199"/>
    <w:rsid w:val="003B4CD4"/>
    <w:rsid w:val="003C1A74"/>
    <w:rsid w:val="003D131B"/>
    <w:rsid w:val="003D5DC7"/>
    <w:rsid w:val="003F6A81"/>
    <w:rsid w:val="003F6BF3"/>
    <w:rsid w:val="00401856"/>
    <w:rsid w:val="00403AB8"/>
    <w:rsid w:val="004157D4"/>
    <w:rsid w:val="00420873"/>
    <w:rsid w:val="004458CF"/>
    <w:rsid w:val="00446F60"/>
    <w:rsid w:val="00452711"/>
    <w:rsid w:val="00455BEB"/>
    <w:rsid w:val="00462F9E"/>
    <w:rsid w:val="00486964"/>
    <w:rsid w:val="00493504"/>
    <w:rsid w:val="00493ABE"/>
    <w:rsid w:val="004A21AE"/>
    <w:rsid w:val="004B219E"/>
    <w:rsid w:val="004B2700"/>
    <w:rsid w:val="004B3D56"/>
    <w:rsid w:val="004B5838"/>
    <w:rsid w:val="004B6698"/>
    <w:rsid w:val="004C4AA6"/>
    <w:rsid w:val="004C56CE"/>
    <w:rsid w:val="004C7EBC"/>
    <w:rsid w:val="004E353C"/>
    <w:rsid w:val="004F1CF0"/>
    <w:rsid w:val="004F5613"/>
    <w:rsid w:val="005079B6"/>
    <w:rsid w:val="00510018"/>
    <w:rsid w:val="00512BFD"/>
    <w:rsid w:val="00512F48"/>
    <w:rsid w:val="005204AB"/>
    <w:rsid w:val="005245C2"/>
    <w:rsid w:val="00527355"/>
    <w:rsid w:val="00533464"/>
    <w:rsid w:val="0054123D"/>
    <w:rsid w:val="0054125E"/>
    <w:rsid w:val="00555F50"/>
    <w:rsid w:val="00564451"/>
    <w:rsid w:val="0056641A"/>
    <w:rsid w:val="00570227"/>
    <w:rsid w:val="005802E4"/>
    <w:rsid w:val="00592BC8"/>
    <w:rsid w:val="00597739"/>
    <w:rsid w:val="00597743"/>
    <w:rsid w:val="005A58E4"/>
    <w:rsid w:val="005A7B1B"/>
    <w:rsid w:val="005B173B"/>
    <w:rsid w:val="005C1C61"/>
    <w:rsid w:val="005C673F"/>
    <w:rsid w:val="005D47DF"/>
    <w:rsid w:val="005E33AD"/>
    <w:rsid w:val="005F1C9A"/>
    <w:rsid w:val="00601CF7"/>
    <w:rsid w:val="0060518D"/>
    <w:rsid w:val="006117B5"/>
    <w:rsid w:val="006204A9"/>
    <w:rsid w:val="006237F2"/>
    <w:rsid w:val="006333DA"/>
    <w:rsid w:val="00636A2A"/>
    <w:rsid w:val="00637B55"/>
    <w:rsid w:val="00642821"/>
    <w:rsid w:val="006432B7"/>
    <w:rsid w:val="00644333"/>
    <w:rsid w:val="006550A5"/>
    <w:rsid w:val="00665DF5"/>
    <w:rsid w:val="0067444C"/>
    <w:rsid w:val="00674FFA"/>
    <w:rsid w:val="006778C1"/>
    <w:rsid w:val="006812DA"/>
    <w:rsid w:val="00682C2F"/>
    <w:rsid w:val="00685F9F"/>
    <w:rsid w:val="006A3563"/>
    <w:rsid w:val="006A5558"/>
    <w:rsid w:val="006A6457"/>
    <w:rsid w:val="006B17FF"/>
    <w:rsid w:val="006B21E8"/>
    <w:rsid w:val="006B2793"/>
    <w:rsid w:val="006B44F4"/>
    <w:rsid w:val="006B4DC6"/>
    <w:rsid w:val="006B7746"/>
    <w:rsid w:val="006B7768"/>
    <w:rsid w:val="006C518C"/>
    <w:rsid w:val="006D246D"/>
    <w:rsid w:val="006D4183"/>
    <w:rsid w:val="006E5763"/>
    <w:rsid w:val="006E6338"/>
    <w:rsid w:val="006F075E"/>
    <w:rsid w:val="00711DFD"/>
    <w:rsid w:val="00720513"/>
    <w:rsid w:val="007241F2"/>
    <w:rsid w:val="00725D5C"/>
    <w:rsid w:val="00727551"/>
    <w:rsid w:val="00732BA5"/>
    <w:rsid w:val="00733238"/>
    <w:rsid w:val="00737EAF"/>
    <w:rsid w:val="0074236C"/>
    <w:rsid w:val="00744A11"/>
    <w:rsid w:val="007525B9"/>
    <w:rsid w:val="00756CF8"/>
    <w:rsid w:val="00761D5B"/>
    <w:rsid w:val="00771E79"/>
    <w:rsid w:val="007778B6"/>
    <w:rsid w:val="007828AB"/>
    <w:rsid w:val="007868B7"/>
    <w:rsid w:val="00786964"/>
    <w:rsid w:val="0078709B"/>
    <w:rsid w:val="007A7D45"/>
    <w:rsid w:val="007B03D9"/>
    <w:rsid w:val="007B1B97"/>
    <w:rsid w:val="007C1237"/>
    <w:rsid w:val="007D55B1"/>
    <w:rsid w:val="007E19C8"/>
    <w:rsid w:val="007E28FA"/>
    <w:rsid w:val="007E556B"/>
    <w:rsid w:val="007E728B"/>
    <w:rsid w:val="007F0FD1"/>
    <w:rsid w:val="00804312"/>
    <w:rsid w:val="0080527B"/>
    <w:rsid w:val="0083581F"/>
    <w:rsid w:val="008405C3"/>
    <w:rsid w:val="00842549"/>
    <w:rsid w:val="00842C39"/>
    <w:rsid w:val="00846B9A"/>
    <w:rsid w:val="00854FCE"/>
    <w:rsid w:val="00862C95"/>
    <w:rsid w:val="00866A17"/>
    <w:rsid w:val="008674A3"/>
    <w:rsid w:val="008717B6"/>
    <w:rsid w:val="00874000"/>
    <w:rsid w:val="00880527"/>
    <w:rsid w:val="00893DF6"/>
    <w:rsid w:val="00894E68"/>
    <w:rsid w:val="00895B85"/>
    <w:rsid w:val="008A0D27"/>
    <w:rsid w:val="008A14FF"/>
    <w:rsid w:val="008A306E"/>
    <w:rsid w:val="008C5F70"/>
    <w:rsid w:val="008D4900"/>
    <w:rsid w:val="008D60F6"/>
    <w:rsid w:val="008D6994"/>
    <w:rsid w:val="008D7B1A"/>
    <w:rsid w:val="008E30BD"/>
    <w:rsid w:val="008F297D"/>
    <w:rsid w:val="008F363A"/>
    <w:rsid w:val="009027C6"/>
    <w:rsid w:val="00902E3E"/>
    <w:rsid w:val="00913BF7"/>
    <w:rsid w:val="0093161B"/>
    <w:rsid w:val="00946372"/>
    <w:rsid w:val="009477EE"/>
    <w:rsid w:val="009516D3"/>
    <w:rsid w:val="00957668"/>
    <w:rsid w:val="00965C44"/>
    <w:rsid w:val="00967FE0"/>
    <w:rsid w:val="00971124"/>
    <w:rsid w:val="0099555C"/>
    <w:rsid w:val="00997902"/>
    <w:rsid w:val="009C2044"/>
    <w:rsid w:val="009C3EE6"/>
    <w:rsid w:val="009C54D3"/>
    <w:rsid w:val="009E4114"/>
    <w:rsid w:val="009E472F"/>
    <w:rsid w:val="009E753B"/>
    <w:rsid w:val="009F1471"/>
    <w:rsid w:val="009F312A"/>
    <w:rsid w:val="009F659C"/>
    <w:rsid w:val="00A11B32"/>
    <w:rsid w:val="00A12170"/>
    <w:rsid w:val="00A16B23"/>
    <w:rsid w:val="00A21EF1"/>
    <w:rsid w:val="00A25105"/>
    <w:rsid w:val="00A3051C"/>
    <w:rsid w:val="00A41F7D"/>
    <w:rsid w:val="00A43043"/>
    <w:rsid w:val="00A449D6"/>
    <w:rsid w:val="00A504B2"/>
    <w:rsid w:val="00A75059"/>
    <w:rsid w:val="00A8393E"/>
    <w:rsid w:val="00A84D90"/>
    <w:rsid w:val="00A855C8"/>
    <w:rsid w:val="00A90710"/>
    <w:rsid w:val="00A913EA"/>
    <w:rsid w:val="00A9559F"/>
    <w:rsid w:val="00AA2C33"/>
    <w:rsid w:val="00AA401E"/>
    <w:rsid w:val="00AA5992"/>
    <w:rsid w:val="00AA73E0"/>
    <w:rsid w:val="00AB5685"/>
    <w:rsid w:val="00AD3168"/>
    <w:rsid w:val="00AD47FF"/>
    <w:rsid w:val="00AD6BBA"/>
    <w:rsid w:val="00AE121C"/>
    <w:rsid w:val="00B02E69"/>
    <w:rsid w:val="00B03497"/>
    <w:rsid w:val="00B03697"/>
    <w:rsid w:val="00B03E2C"/>
    <w:rsid w:val="00B05962"/>
    <w:rsid w:val="00B40069"/>
    <w:rsid w:val="00B40E77"/>
    <w:rsid w:val="00B41F45"/>
    <w:rsid w:val="00B52ED4"/>
    <w:rsid w:val="00B55CA6"/>
    <w:rsid w:val="00B60938"/>
    <w:rsid w:val="00B66C8F"/>
    <w:rsid w:val="00B75310"/>
    <w:rsid w:val="00B8114C"/>
    <w:rsid w:val="00B84AED"/>
    <w:rsid w:val="00B94BEC"/>
    <w:rsid w:val="00B957B9"/>
    <w:rsid w:val="00BA1AC8"/>
    <w:rsid w:val="00BA7C5D"/>
    <w:rsid w:val="00BB1D16"/>
    <w:rsid w:val="00BB3804"/>
    <w:rsid w:val="00BB5126"/>
    <w:rsid w:val="00BC2917"/>
    <w:rsid w:val="00BC56E2"/>
    <w:rsid w:val="00BE1C53"/>
    <w:rsid w:val="00BE398A"/>
    <w:rsid w:val="00BE570F"/>
    <w:rsid w:val="00BF2255"/>
    <w:rsid w:val="00BF4F53"/>
    <w:rsid w:val="00C01C7F"/>
    <w:rsid w:val="00C024DD"/>
    <w:rsid w:val="00C04918"/>
    <w:rsid w:val="00C05A07"/>
    <w:rsid w:val="00C101CA"/>
    <w:rsid w:val="00C1061B"/>
    <w:rsid w:val="00C10B0F"/>
    <w:rsid w:val="00C12CF9"/>
    <w:rsid w:val="00C15228"/>
    <w:rsid w:val="00C229D1"/>
    <w:rsid w:val="00C304F9"/>
    <w:rsid w:val="00C33792"/>
    <w:rsid w:val="00C34913"/>
    <w:rsid w:val="00C40712"/>
    <w:rsid w:val="00C42ACF"/>
    <w:rsid w:val="00C449A9"/>
    <w:rsid w:val="00C60EB5"/>
    <w:rsid w:val="00C61243"/>
    <w:rsid w:val="00C64509"/>
    <w:rsid w:val="00C75139"/>
    <w:rsid w:val="00C85651"/>
    <w:rsid w:val="00C91C2C"/>
    <w:rsid w:val="00C938B1"/>
    <w:rsid w:val="00C93B4E"/>
    <w:rsid w:val="00C9722E"/>
    <w:rsid w:val="00CA1895"/>
    <w:rsid w:val="00CA4839"/>
    <w:rsid w:val="00CA7011"/>
    <w:rsid w:val="00CA730A"/>
    <w:rsid w:val="00CB378C"/>
    <w:rsid w:val="00CB7B52"/>
    <w:rsid w:val="00CC30DF"/>
    <w:rsid w:val="00CD3972"/>
    <w:rsid w:val="00CD3EEE"/>
    <w:rsid w:val="00CD5941"/>
    <w:rsid w:val="00CE3FFB"/>
    <w:rsid w:val="00CE4406"/>
    <w:rsid w:val="00CE44DC"/>
    <w:rsid w:val="00CE49D8"/>
    <w:rsid w:val="00CE7A35"/>
    <w:rsid w:val="00CF02A9"/>
    <w:rsid w:val="00CF0DED"/>
    <w:rsid w:val="00CF2ADB"/>
    <w:rsid w:val="00CF55BB"/>
    <w:rsid w:val="00D010C1"/>
    <w:rsid w:val="00D10206"/>
    <w:rsid w:val="00D11007"/>
    <w:rsid w:val="00D13E03"/>
    <w:rsid w:val="00D15791"/>
    <w:rsid w:val="00D268A2"/>
    <w:rsid w:val="00D3503E"/>
    <w:rsid w:val="00D36809"/>
    <w:rsid w:val="00D37476"/>
    <w:rsid w:val="00D556DD"/>
    <w:rsid w:val="00D74616"/>
    <w:rsid w:val="00D77A8E"/>
    <w:rsid w:val="00D85C4C"/>
    <w:rsid w:val="00D94FDF"/>
    <w:rsid w:val="00DA1045"/>
    <w:rsid w:val="00DA5CE7"/>
    <w:rsid w:val="00DB00B0"/>
    <w:rsid w:val="00DC5790"/>
    <w:rsid w:val="00DD0F9B"/>
    <w:rsid w:val="00DE482E"/>
    <w:rsid w:val="00DE7A2B"/>
    <w:rsid w:val="00DF62F5"/>
    <w:rsid w:val="00DF6B14"/>
    <w:rsid w:val="00DF762B"/>
    <w:rsid w:val="00E001CE"/>
    <w:rsid w:val="00E01CE2"/>
    <w:rsid w:val="00E034BC"/>
    <w:rsid w:val="00E138A0"/>
    <w:rsid w:val="00E15A74"/>
    <w:rsid w:val="00E246F4"/>
    <w:rsid w:val="00E261B0"/>
    <w:rsid w:val="00E33ED1"/>
    <w:rsid w:val="00E34958"/>
    <w:rsid w:val="00E50862"/>
    <w:rsid w:val="00E62D2A"/>
    <w:rsid w:val="00E731E3"/>
    <w:rsid w:val="00E74290"/>
    <w:rsid w:val="00E75D38"/>
    <w:rsid w:val="00E75F24"/>
    <w:rsid w:val="00E76D3F"/>
    <w:rsid w:val="00E85F64"/>
    <w:rsid w:val="00E917DD"/>
    <w:rsid w:val="00E918C9"/>
    <w:rsid w:val="00E94337"/>
    <w:rsid w:val="00E9677F"/>
    <w:rsid w:val="00E97B8F"/>
    <w:rsid w:val="00E97F4C"/>
    <w:rsid w:val="00EA03DE"/>
    <w:rsid w:val="00EA0C47"/>
    <w:rsid w:val="00EA2F04"/>
    <w:rsid w:val="00EA6067"/>
    <w:rsid w:val="00EA7AB0"/>
    <w:rsid w:val="00EB057E"/>
    <w:rsid w:val="00EB57F7"/>
    <w:rsid w:val="00EC1141"/>
    <w:rsid w:val="00EC2CDC"/>
    <w:rsid w:val="00EC70D8"/>
    <w:rsid w:val="00EC7111"/>
    <w:rsid w:val="00EC74DA"/>
    <w:rsid w:val="00EC7E26"/>
    <w:rsid w:val="00ED19B8"/>
    <w:rsid w:val="00EF0589"/>
    <w:rsid w:val="00EF3447"/>
    <w:rsid w:val="00EF47FB"/>
    <w:rsid w:val="00EF4D29"/>
    <w:rsid w:val="00F05E0F"/>
    <w:rsid w:val="00F1334F"/>
    <w:rsid w:val="00F216AA"/>
    <w:rsid w:val="00F24A8A"/>
    <w:rsid w:val="00F3114C"/>
    <w:rsid w:val="00F3568A"/>
    <w:rsid w:val="00F467C1"/>
    <w:rsid w:val="00F5253B"/>
    <w:rsid w:val="00F5511C"/>
    <w:rsid w:val="00F56710"/>
    <w:rsid w:val="00F6786B"/>
    <w:rsid w:val="00F71B98"/>
    <w:rsid w:val="00F72F6B"/>
    <w:rsid w:val="00F737A1"/>
    <w:rsid w:val="00F76D1C"/>
    <w:rsid w:val="00F77E7B"/>
    <w:rsid w:val="00F8255D"/>
    <w:rsid w:val="00F8319C"/>
    <w:rsid w:val="00F83287"/>
    <w:rsid w:val="00F857CF"/>
    <w:rsid w:val="00FA303D"/>
    <w:rsid w:val="00FA3E37"/>
    <w:rsid w:val="00FB1676"/>
    <w:rsid w:val="00FB34B3"/>
    <w:rsid w:val="00FC7283"/>
    <w:rsid w:val="00FD07C8"/>
    <w:rsid w:val="00FD1283"/>
    <w:rsid w:val="00FD7125"/>
    <w:rsid w:val="00FE3EE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36056AEB"/>
  <w14:defaultImageDpi w14:val="300"/>
  <w15:docId w15:val="{889435C2-5184-43B6-B382-34E14995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it-IT" w:eastAsia="ja-JP"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lang w:val="en-US" w:eastAsia="it-IT"/>
    </w:rPr>
  </w:style>
  <w:style w:type="paragraph" w:styleId="Titolo1">
    <w:name w:val="heading 1"/>
    <w:basedOn w:val="Normale"/>
    <w:next w:val="Normale"/>
    <w:link w:val="Titolo1Carattere"/>
    <w:qFormat/>
    <w:rsid w:val="006333D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B44F4"/>
    <w:pPr>
      <w:ind w:left="720"/>
      <w:contextualSpacing/>
    </w:pPr>
  </w:style>
  <w:style w:type="paragraph" w:styleId="Testofumetto">
    <w:name w:val="Balloon Text"/>
    <w:basedOn w:val="Normale"/>
    <w:link w:val="TestofumettoCarattere"/>
    <w:uiPriority w:val="99"/>
    <w:semiHidden/>
    <w:unhideWhenUsed/>
    <w:rsid w:val="004157D4"/>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4157D4"/>
    <w:rPr>
      <w:rFonts w:ascii="Lucida Grande" w:hAnsi="Lucida Grande" w:cs="Lucida Grande"/>
      <w:sz w:val="18"/>
      <w:szCs w:val="18"/>
      <w:lang w:val="en-US" w:eastAsia="it-IT"/>
    </w:rPr>
  </w:style>
  <w:style w:type="character" w:customStyle="1" w:styleId="TestofumettoCarattere1">
    <w:name w:val="Testo fumetto Carattere1"/>
    <w:uiPriority w:val="99"/>
    <w:semiHidden/>
    <w:rsid w:val="001C43D7"/>
    <w:rPr>
      <w:rFonts w:ascii="Lucida Grande" w:hAnsi="Lucida Grande"/>
      <w:sz w:val="18"/>
      <w:szCs w:val="18"/>
    </w:rPr>
  </w:style>
  <w:style w:type="paragraph" w:customStyle="1" w:styleId="TFReferencesSection">
    <w:name w:val="TF_References_Section"/>
    <w:basedOn w:val="Normale"/>
    <w:rsid w:val="001C43D7"/>
    <w:pPr>
      <w:spacing w:after="200" w:line="480" w:lineRule="auto"/>
      <w:ind w:firstLine="187"/>
      <w:jc w:val="both"/>
    </w:pPr>
    <w:rPr>
      <w:rFonts w:ascii="Times" w:eastAsia="Times New Roman" w:hAnsi="Times"/>
      <w:szCs w:val="20"/>
      <w:lang w:eastAsia="en-US"/>
    </w:rPr>
  </w:style>
  <w:style w:type="character" w:styleId="Rimandonotadichiusura">
    <w:name w:val="endnote reference"/>
    <w:uiPriority w:val="99"/>
    <w:unhideWhenUsed/>
    <w:rsid w:val="001C43D7"/>
    <w:rPr>
      <w:vertAlign w:val="superscript"/>
    </w:rPr>
  </w:style>
  <w:style w:type="character" w:styleId="Collegamentoipertestuale">
    <w:name w:val="Hyperlink"/>
    <w:rsid w:val="00F71B98"/>
    <w:rPr>
      <w:color w:val="0000FF"/>
      <w:u w:val="single"/>
    </w:rPr>
  </w:style>
  <w:style w:type="character" w:customStyle="1" w:styleId="apple-converted-space">
    <w:name w:val="apple-converted-space"/>
    <w:basedOn w:val="Carpredefinitoparagrafo"/>
    <w:rsid w:val="006333DA"/>
  </w:style>
  <w:style w:type="character" w:customStyle="1" w:styleId="Titolo1Carattere">
    <w:name w:val="Titolo 1 Carattere"/>
    <w:basedOn w:val="Carpredefinitoparagrafo"/>
    <w:link w:val="Titolo1"/>
    <w:rsid w:val="006333DA"/>
    <w:rPr>
      <w:rFonts w:asciiTheme="majorHAnsi" w:eastAsiaTheme="majorEastAsia" w:hAnsiTheme="majorHAnsi" w:cstheme="majorBidi"/>
      <w:b/>
      <w:bCs/>
      <w:color w:val="345A8A" w:themeColor="accent1" w:themeShade="B5"/>
      <w:sz w:val="32"/>
      <w:szCs w:val="32"/>
      <w:lang w:val="en-US" w:eastAsia="it-IT"/>
    </w:rPr>
  </w:style>
  <w:style w:type="character" w:styleId="Collegamentovisitato">
    <w:name w:val="FollowedHyperlink"/>
    <w:rsid w:val="00303C47"/>
    <w:rPr>
      <w:color w:val="800080"/>
      <w:u w:val="single"/>
    </w:rPr>
  </w:style>
  <w:style w:type="paragraph" w:customStyle="1" w:styleId="Corpotesto1">
    <w:name w:val="Corpo testo1"/>
    <w:basedOn w:val="Normale"/>
    <w:rsid w:val="00303C47"/>
    <w:pPr>
      <w:spacing w:after="200"/>
      <w:jc w:val="center"/>
    </w:pPr>
    <w:rPr>
      <w:rFonts w:ascii="Times" w:eastAsia="Times New Roman" w:hAnsi="Times"/>
      <w:b/>
      <w:sz w:val="40"/>
      <w:szCs w:val="20"/>
      <w:lang w:eastAsia="en-US"/>
    </w:rPr>
  </w:style>
  <w:style w:type="paragraph" w:styleId="Testonotaapidipagina">
    <w:name w:val="footnote text"/>
    <w:basedOn w:val="Normale"/>
    <w:next w:val="TFReferencesSection"/>
    <w:link w:val="TestonotaapidipaginaCarattere"/>
    <w:uiPriority w:val="99"/>
    <w:rsid w:val="00303C47"/>
    <w:pPr>
      <w:spacing w:after="200"/>
      <w:jc w:val="both"/>
    </w:pPr>
    <w:rPr>
      <w:rFonts w:ascii="Times" w:eastAsia="Times New Roman" w:hAnsi="Times"/>
      <w:szCs w:val="20"/>
      <w:lang w:eastAsia="en-US"/>
    </w:rPr>
  </w:style>
  <w:style w:type="character" w:customStyle="1" w:styleId="TestonotaapidipaginaCarattere">
    <w:name w:val="Testo nota a piè di pagina Carattere"/>
    <w:basedOn w:val="Carpredefinitoparagrafo"/>
    <w:link w:val="Testonotaapidipagina"/>
    <w:uiPriority w:val="99"/>
    <w:rsid w:val="00303C47"/>
    <w:rPr>
      <w:rFonts w:ascii="Times" w:eastAsia="Times New Roman" w:hAnsi="Times"/>
      <w:sz w:val="24"/>
      <w:lang w:val="en-US" w:eastAsia="en-US"/>
    </w:rPr>
  </w:style>
  <w:style w:type="paragraph" w:customStyle="1" w:styleId="TAMainText">
    <w:name w:val="TA_Main_Text"/>
    <w:basedOn w:val="Normale"/>
    <w:rsid w:val="00303C47"/>
    <w:pPr>
      <w:spacing w:line="480" w:lineRule="auto"/>
      <w:ind w:firstLine="202"/>
      <w:jc w:val="both"/>
    </w:pPr>
    <w:rPr>
      <w:rFonts w:ascii="Times" w:eastAsia="Times New Roman" w:hAnsi="Times"/>
      <w:szCs w:val="20"/>
      <w:lang w:eastAsia="en-US"/>
    </w:rPr>
  </w:style>
  <w:style w:type="paragraph" w:customStyle="1" w:styleId="BATitle">
    <w:name w:val="BA_Title"/>
    <w:basedOn w:val="Normale"/>
    <w:next w:val="BBAuthorName"/>
    <w:rsid w:val="00303C47"/>
    <w:pPr>
      <w:spacing w:before="720" w:after="360" w:line="480" w:lineRule="auto"/>
      <w:jc w:val="center"/>
    </w:pPr>
    <w:rPr>
      <w:rFonts w:eastAsia="Times New Roman"/>
      <w:sz w:val="44"/>
      <w:szCs w:val="20"/>
      <w:lang w:eastAsia="en-US"/>
    </w:rPr>
  </w:style>
  <w:style w:type="paragraph" w:customStyle="1" w:styleId="BBAuthorName">
    <w:name w:val="BB_Author_Name"/>
    <w:basedOn w:val="Normale"/>
    <w:next w:val="BCAuthorAddress"/>
    <w:rsid w:val="00303C47"/>
    <w:pPr>
      <w:spacing w:after="240" w:line="480" w:lineRule="auto"/>
      <w:jc w:val="center"/>
    </w:pPr>
    <w:rPr>
      <w:rFonts w:ascii="Times" w:eastAsia="Times New Roman" w:hAnsi="Times"/>
      <w:i/>
      <w:szCs w:val="20"/>
      <w:lang w:eastAsia="en-US"/>
    </w:rPr>
  </w:style>
  <w:style w:type="paragraph" w:customStyle="1" w:styleId="BCAuthorAddress">
    <w:name w:val="BC_Author_Address"/>
    <w:basedOn w:val="Normale"/>
    <w:next w:val="BIEmailAddress"/>
    <w:rsid w:val="00303C47"/>
    <w:pPr>
      <w:spacing w:after="240" w:line="480" w:lineRule="auto"/>
      <w:jc w:val="center"/>
    </w:pPr>
    <w:rPr>
      <w:rFonts w:ascii="Times" w:eastAsia="Times New Roman" w:hAnsi="Times"/>
      <w:szCs w:val="20"/>
      <w:lang w:eastAsia="en-US"/>
    </w:rPr>
  </w:style>
  <w:style w:type="paragraph" w:customStyle="1" w:styleId="BIEmailAddress">
    <w:name w:val="BI_Email_Address"/>
    <w:basedOn w:val="Normale"/>
    <w:next w:val="AIReceivedDate"/>
    <w:rsid w:val="00303C47"/>
    <w:pPr>
      <w:spacing w:after="200" w:line="480" w:lineRule="auto"/>
      <w:jc w:val="both"/>
    </w:pPr>
    <w:rPr>
      <w:rFonts w:ascii="Times" w:eastAsia="Times New Roman" w:hAnsi="Times"/>
      <w:szCs w:val="20"/>
      <w:lang w:eastAsia="en-US"/>
    </w:rPr>
  </w:style>
  <w:style w:type="paragraph" w:customStyle="1" w:styleId="AIReceivedDate">
    <w:name w:val="AI_Received_Date"/>
    <w:basedOn w:val="Normale"/>
    <w:next w:val="BDAbstract"/>
    <w:rsid w:val="00303C47"/>
    <w:pPr>
      <w:spacing w:after="240" w:line="480" w:lineRule="auto"/>
      <w:jc w:val="both"/>
    </w:pPr>
    <w:rPr>
      <w:rFonts w:ascii="Times" w:eastAsia="Times New Roman" w:hAnsi="Times"/>
      <w:b/>
      <w:szCs w:val="20"/>
      <w:lang w:eastAsia="en-US"/>
    </w:rPr>
  </w:style>
  <w:style w:type="paragraph" w:customStyle="1" w:styleId="BDAbstract">
    <w:name w:val="BD_Abstract"/>
    <w:basedOn w:val="Normale"/>
    <w:next w:val="TAMainText"/>
    <w:rsid w:val="00303C47"/>
    <w:pPr>
      <w:spacing w:before="360" w:after="360" w:line="480" w:lineRule="auto"/>
      <w:jc w:val="both"/>
    </w:pPr>
    <w:rPr>
      <w:rFonts w:ascii="Times" w:eastAsia="Times New Roman" w:hAnsi="Times"/>
      <w:szCs w:val="20"/>
      <w:lang w:eastAsia="en-US"/>
    </w:rPr>
  </w:style>
  <w:style w:type="paragraph" w:customStyle="1" w:styleId="TDAcknowledgments">
    <w:name w:val="TD_Acknowledgments"/>
    <w:basedOn w:val="Normale"/>
    <w:next w:val="Normale"/>
    <w:rsid w:val="00303C47"/>
    <w:pPr>
      <w:spacing w:before="200" w:after="200" w:line="480" w:lineRule="auto"/>
      <w:ind w:firstLine="202"/>
      <w:jc w:val="both"/>
    </w:pPr>
    <w:rPr>
      <w:rFonts w:ascii="Times" w:eastAsia="Times New Roman" w:hAnsi="Times"/>
      <w:szCs w:val="20"/>
      <w:lang w:eastAsia="en-US"/>
    </w:rPr>
  </w:style>
  <w:style w:type="paragraph" w:customStyle="1" w:styleId="TESupportingInformation">
    <w:name w:val="TE_Supporting_Information"/>
    <w:basedOn w:val="Normale"/>
    <w:next w:val="Normale"/>
    <w:rsid w:val="00303C47"/>
    <w:pPr>
      <w:spacing w:after="200" w:line="480" w:lineRule="auto"/>
      <w:ind w:firstLine="187"/>
      <w:jc w:val="both"/>
    </w:pPr>
    <w:rPr>
      <w:rFonts w:ascii="Times" w:eastAsia="Times New Roman" w:hAnsi="Times"/>
      <w:szCs w:val="20"/>
      <w:lang w:eastAsia="en-US"/>
    </w:rPr>
  </w:style>
  <w:style w:type="paragraph" w:customStyle="1" w:styleId="VCSchemeTitle">
    <w:name w:val="VC_Scheme_Title"/>
    <w:basedOn w:val="Normale"/>
    <w:next w:val="Normale"/>
    <w:rsid w:val="00303C47"/>
    <w:pPr>
      <w:spacing w:after="200" w:line="480" w:lineRule="auto"/>
      <w:jc w:val="both"/>
    </w:pPr>
    <w:rPr>
      <w:rFonts w:ascii="Times" w:eastAsia="Times New Roman" w:hAnsi="Times"/>
      <w:szCs w:val="20"/>
      <w:lang w:eastAsia="en-US"/>
    </w:rPr>
  </w:style>
  <w:style w:type="paragraph" w:customStyle="1" w:styleId="VDTableTitle">
    <w:name w:val="VD_Table_Title"/>
    <w:basedOn w:val="Normale"/>
    <w:next w:val="Normale"/>
    <w:rsid w:val="00303C47"/>
    <w:pPr>
      <w:spacing w:after="200" w:line="480" w:lineRule="auto"/>
      <w:jc w:val="both"/>
    </w:pPr>
    <w:rPr>
      <w:rFonts w:ascii="Times" w:eastAsia="Times New Roman" w:hAnsi="Times"/>
      <w:szCs w:val="20"/>
      <w:lang w:eastAsia="en-US"/>
    </w:rPr>
  </w:style>
  <w:style w:type="paragraph" w:customStyle="1" w:styleId="VAFigureCaption">
    <w:name w:val="VA_Figure_Caption"/>
    <w:basedOn w:val="Normale"/>
    <w:next w:val="Normale"/>
    <w:rsid w:val="00303C47"/>
    <w:pPr>
      <w:spacing w:after="200" w:line="480" w:lineRule="auto"/>
      <w:jc w:val="both"/>
    </w:pPr>
    <w:rPr>
      <w:rFonts w:ascii="Times" w:eastAsia="Times New Roman" w:hAnsi="Times"/>
      <w:szCs w:val="20"/>
      <w:lang w:eastAsia="en-US"/>
    </w:rPr>
  </w:style>
  <w:style w:type="paragraph" w:customStyle="1" w:styleId="VBChartTitle">
    <w:name w:val="VB_Chart_Title"/>
    <w:basedOn w:val="Normale"/>
    <w:next w:val="Normale"/>
    <w:rsid w:val="00303C47"/>
    <w:pPr>
      <w:spacing w:after="200" w:line="480" w:lineRule="auto"/>
      <w:jc w:val="both"/>
    </w:pPr>
    <w:rPr>
      <w:rFonts w:ascii="Times" w:eastAsia="Times New Roman" w:hAnsi="Times"/>
      <w:szCs w:val="20"/>
      <w:lang w:eastAsia="en-US"/>
    </w:rPr>
  </w:style>
  <w:style w:type="paragraph" w:customStyle="1" w:styleId="FETableFootnote">
    <w:name w:val="FE_Table_Footnote"/>
    <w:basedOn w:val="Normale"/>
    <w:next w:val="Normale"/>
    <w:rsid w:val="00303C47"/>
    <w:pPr>
      <w:spacing w:after="200"/>
      <w:ind w:firstLine="187"/>
      <w:jc w:val="both"/>
    </w:pPr>
    <w:rPr>
      <w:rFonts w:ascii="Times" w:eastAsia="Times New Roman" w:hAnsi="Times"/>
      <w:szCs w:val="20"/>
      <w:lang w:eastAsia="en-US"/>
    </w:rPr>
  </w:style>
  <w:style w:type="paragraph" w:customStyle="1" w:styleId="FCChartFootnote">
    <w:name w:val="FC_Chart_Footnote"/>
    <w:basedOn w:val="Normale"/>
    <w:next w:val="Normale"/>
    <w:rsid w:val="00303C47"/>
    <w:pPr>
      <w:spacing w:after="200"/>
      <w:ind w:firstLine="187"/>
      <w:jc w:val="both"/>
    </w:pPr>
    <w:rPr>
      <w:rFonts w:ascii="Times" w:eastAsia="Times New Roman" w:hAnsi="Times"/>
      <w:szCs w:val="20"/>
      <w:lang w:eastAsia="en-US"/>
    </w:rPr>
  </w:style>
  <w:style w:type="paragraph" w:customStyle="1" w:styleId="FDSchemeFootnote">
    <w:name w:val="FD_Scheme_Footnote"/>
    <w:basedOn w:val="Normale"/>
    <w:next w:val="Normale"/>
    <w:rsid w:val="00303C47"/>
    <w:pPr>
      <w:spacing w:after="200"/>
      <w:ind w:firstLine="187"/>
      <w:jc w:val="both"/>
    </w:pPr>
    <w:rPr>
      <w:rFonts w:ascii="Times" w:eastAsia="Times New Roman" w:hAnsi="Times"/>
      <w:szCs w:val="20"/>
      <w:lang w:eastAsia="en-US"/>
    </w:rPr>
  </w:style>
  <w:style w:type="paragraph" w:customStyle="1" w:styleId="TCTableBody">
    <w:name w:val="TC_Table_Body"/>
    <w:basedOn w:val="Normale"/>
    <w:rsid w:val="00303C47"/>
    <w:pPr>
      <w:spacing w:after="200"/>
      <w:jc w:val="both"/>
    </w:pPr>
    <w:rPr>
      <w:rFonts w:ascii="Times" w:eastAsia="Times New Roman" w:hAnsi="Times"/>
      <w:szCs w:val="20"/>
      <w:lang w:eastAsia="en-US"/>
    </w:rPr>
  </w:style>
  <w:style w:type="paragraph" w:customStyle="1" w:styleId="AFTitleRunningHead">
    <w:name w:val="AF_Title_Running_Head"/>
    <w:basedOn w:val="Normale"/>
    <w:next w:val="TAMainText"/>
    <w:rsid w:val="00303C47"/>
    <w:pPr>
      <w:spacing w:after="200" w:line="480" w:lineRule="auto"/>
      <w:jc w:val="both"/>
    </w:pPr>
    <w:rPr>
      <w:rFonts w:ascii="Times" w:eastAsia="Times New Roman" w:hAnsi="Times"/>
      <w:szCs w:val="20"/>
      <w:lang w:eastAsia="en-US"/>
    </w:rPr>
  </w:style>
  <w:style w:type="paragraph" w:customStyle="1" w:styleId="BEAuthorBiography">
    <w:name w:val="BE_Author_Biography"/>
    <w:basedOn w:val="Normale"/>
    <w:rsid w:val="00303C47"/>
    <w:pPr>
      <w:spacing w:after="200" w:line="480" w:lineRule="auto"/>
      <w:jc w:val="both"/>
    </w:pPr>
    <w:rPr>
      <w:rFonts w:ascii="Times" w:eastAsia="Times New Roman" w:hAnsi="Times"/>
      <w:szCs w:val="20"/>
      <w:lang w:eastAsia="en-US"/>
    </w:rPr>
  </w:style>
  <w:style w:type="paragraph" w:customStyle="1" w:styleId="FACorrespondingAuthorFootnote">
    <w:name w:val="FA_Corresponding_Author_Footnote"/>
    <w:basedOn w:val="Normale"/>
    <w:next w:val="TAMainText"/>
    <w:rsid w:val="00303C47"/>
    <w:pPr>
      <w:spacing w:after="200" w:line="480" w:lineRule="auto"/>
      <w:jc w:val="both"/>
    </w:pPr>
    <w:rPr>
      <w:rFonts w:ascii="Times" w:eastAsia="Times New Roman" w:hAnsi="Times"/>
      <w:szCs w:val="20"/>
      <w:lang w:eastAsia="en-US"/>
    </w:rPr>
  </w:style>
  <w:style w:type="paragraph" w:customStyle="1" w:styleId="SNSynopsisTOC">
    <w:name w:val="SN_Synopsis_TOC"/>
    <w:basedOn w:val="Normale"/>
    <w:rsid w:val="00303C47"/>
    <w:pPr>
      <w:spacing w:after="200" w:line="480" w:lineRule="auto"/>
      <w:jc w:val="both"/>
    </w:pPr>
    <w:rPr>
      <w:rFonts w:ascii="Times" w:eastAsia="Times New Roman" w:hAnsi="Times"/>
      <w:szCs w:val="20"/>
      <w:lang w:eastAsia="en-US"/>
    </w:rPr>
  </w:style>
  <w:style w:type="paragraph" w:styleId="Pidipagina">
    <w:name w:val="footer"/>
    <w:basedOn w:val="Normale"/>
    <w:link w:val="PidipaginaCarattere"/>
    <w:rsid w:val="00303C47"/>
    <w:pPr>
      <w:tabs>
        <w:tab w:val="center" w:pos="4320"/>
        <w:tab w:val="right" w:pos="8640"/>
      </w:tabs>
      <w:spacing w:after="200"/>
      <w:jc w:val="both"/>
    </w:pPr>
    <w:rPr>
      <w:rFonts w:ascii="Times" w:eastAsia="Times New Roman" w:hAnsi="Times"/>
      <w:szCs w:val="20"/>
      <w:lang w:eastAsia="en-US"/>
    </w:rPr>
  </w:style>
  <w:style w:type="character" w:customStyle="1" w:styleId="PidipaginaCarattere">
    <w:name w:val="Piè di pagina Carattere"/>
    <w:basedOn w:val="Carpredefinitoparagrafo"/>
    <w:link w:val="Pidipagina"/>
    <w:rsid w:val="00303C47"/>
    <w:rPr>
      <w:rFonts w:ascii="Times" w:eastAsia="Times New Roman" w:hAnsi="Times"/>
      <w:sz w:val="24"/>
      <w:lang w:val="en-US" w:eastAsia="en-US"/>
    </w:rPr>
  </w:style>
  <w:style w:type="paragraph" w:customStyle="1" w:styleId="BGKeywords">
    <w:name w:val="BG_Keywords"/>
    <w:basedOn w:val="Normale"/>
    <w:rsid w:val="00303C47"/>
    <w:pPr>
      <w:spacing w:after="200" w:line="480" w:lineRule="auto"/>
      <w:jc w:val="both"/>
    </w:pPr>
    <w:rPr>
      <w:rFonts w:ascii="Times" w:eastAsia="Times New Roman" w:hAnsi="Times"/>
      <w:szCs w:val="20"/>
      <w:lang w:eastAsia="en-US"/>
    </w:rPr>
  </w:style>
  <w:style w:type="paragraph" w:customStyle="1" w:styleId="BHBriefs">
    <w:name w:val="BH_Briefs"/>
    <w:basedOn w:val="Normale"/>
    <w:rsid w:val="00303C47"/>
    <w:pPr>
      <w:spacing w:after="200" w:line="480" w:lineRule="auto"/>
      <w:jc w:val="both"/>
    </w:pPr>
    <w:rPr>
      <w:rFonts w:ascii="Times" w:eastAsia="Times New Roman" w:hAnsi="Times"/>
      <w:szCs w:val="20"/>
      <w:lang w:eastAsia="en-US"/>
    </w:rPr>
  </w:style>
  <w:style w:type="character" w:styleId="Numeropagina">
    <w:name w:val="page number"/>
    <w:basedOn w:val="Carpredefinitoparagrafo"/>
    <w:rsid w:val="00303C47"/>
  </w:style>
  <w:style w:type="paragraph" w:customStyle="1" w:styleId="StyleFACorrespondingAuthorFootnote7pt">
    <w:name w:val="Style FA_Corresponding_Author_Footnote + 7 pt"/>
    <w:basedOn w:val="Normale"/>
    <w:next w:val="BGKeywords"/>
    <w:link w:val="StyleFACorrespondingAuthorFootnote7ptChar"/>
    <w:autoRedefine/>
    <w:rsid w:val="00303C47"/>
    <w:rPr>
      <w:rFonts w:ascii="Arno Pro" w:eastAsia="Times New Roman" w:hAnsi="Arno Pro"/>
      <w:kern w:val="20"/>
      <w:sz w:val="18"/>
      <w:szCs w:val="20"/>
      <w:lang w:eastAsia="en-US"/>
    </w:rPr>
  </w:style>
  <w:style w:type="character" w:customStyle="1" w:styleId="StyleFACorrespondingAuthorFootnote7ptChar">
    <w:name w:val="Style FA_Corresponding_Author_Footnote + 7 pt Char"/>
    <w:link w:val="StyleFACorrespondingAuthorFootnote7pt"/>
    <w:rsid w:val="00303C47"/>
    <w:rPr>
      <w:rFonts w:ascii="Arno Pro" w:eastAsia="Times New Roman" w:hAnsi="Arno Pro"/>
      <w:kern w:val="20"/>
      <w:sz w:val="18"/>
      <w:lang w:val="en-US" w:eastAsia="en-US"/>
    </w:rPr>
  </w:style>
  <w:style w:type="paragraph" w:customStyle="1" w:styleId="FAAuthorInfoSubtitle">
    <w:name w:val="FA_Author_Info_Subtitle"/>
    <w:basedOn w:val="Normale"/>
    <w:link w:val="FAAuthorInfoSubtitleChar"/>
    <w:autoRedefine/>
    <w:rsid w:val="00303C47"/>
    <w:pPr>
      <w:spacing w:before="120" w:after="60" w:line="480" w:lineRule="auto"/>
    </w:pPr>
    <w:rPr>
      <w:rFonts w:ascii="Times" w:eastAsia="Times New Roman" w:hAnsi="Times"/>
      <w:b/>
      <w:szCs w:val="20"/>
      <w:lang w:eastAsia="en-US"/>
    </w:rPr>
  </w:style>
  <w:style w:type="character" w:customStyle="1" w:styleId="FAAuthorInfoSubtitleChar">
    <w:name w:val="FA_Author_Info_Subtitle Char"/>
    <w:link w:val="FAAuthorInfoSubtitle"/>
    <w:rsid w:val="00303C47"/>
    <w:rPr>
      <w:rFonts w:ascii="Times" w:eastAsia="Times New Roman" w:hAnsi="Times"/>
      <w:b/>
      <w:sz w:val="24"/>
      <w:lang w:val="en-US" w:eastAsia="en-US"/>
    </w:rPr>
  </w:style>
  <w:style w:type="paragraph" w:customStyle="1" w:styleId="Default">
    <w:name w:val="Default"/>
    <w:rsid w:val="00303C47"/>
    <w:pPr>
      <w:autoSpaceDE w:val="0"/>
      <w:autoSpaceDN w:val="0"/>
      <w:adjustRightInd w:val="0"/>
    </w:pPr>
    <w:rPr>
      <w:rFonts w:ascii="Symbol" w:eastAsia="Times New Roman" w:hAnsi="Symbol" w:cs="Symbol"/>
      <w:color w:val="000000"/>
      <w:sz w:val="24"/>
      <w:szCs w:val="24"/>
      <w:lang w:val="en-US" w:eastAsia="en-US"/>
    </w:rPr>
  </w:style>
  <w:style w:type="paragraph" w:styleId="Testonotadichiusura">
    <w:name w:val="endnote text"/>
    <w:basedOn w:val="Normale"/>
    <w:link w:val="TestonotadichiusuraCarattere"/>
    <w:uiPriority w:val="99"/>
    <w:rsid w:val="00303C47"/>
    <w:pPr>
      <w:jc w:val="both"/>
    </w:pPr>
    <w:rPr>
      <w:rFonts w:ascii="Times" w:eastAsia="Times New Roman" w:hAnsi="Times"/>
      <w:sz w:val="20"/>
      <w:szCs w:val="20"/>
      <w:lang w:eastAsia="en-US"/>
    </w:rPr>
  </w:style>
  <w:style w:type="character" w:customStyle="1" w:styleId="TestonotadichiusuraCarattere">
    <w:name w:val="Testo nota di chiusura Carattere"/>
    <w:basedOn w:val="Carpredefinitoparagrafo"/>
    <w:link w:val="Testonotadichiusura"/>
    <w:uiPriority w:val="99"/>
    <w:rsid w:val="00303C47"/>
    <w:rPr>
      <w:rFonts w:ascii="Times" w:eastAsia="Times New Roman" w:hAnsi="Times"/>
      <w:lang w:val="en-US" w:eastAsia="en-US"/>
    </w:rPr>
  </w:style>
  <w:style w:type="character" w:styleId="Enfasicorsivo">
    <w:name w:val="Emphasis"/>
    <w:uiPriority w:val="20"/>
    <w:qFormat/>
    <w:rsid w:val="00303C47"/>
    <w:rPr>
      <w:i/>
      <w:iCs/>
    </w:rPr>
  </w:style>
  <w:style w:type="table" w:styleId="Grigliatabella">
    <w:name w:val="Table Grid"/>
    <w:basedOn w:val="Tabellanormale"/>
    <w:rsid w:val="00303C47"/>
    <w:rPr>
      <w:rFonts w:ascii="New York" w:eastAsia="Times New Roman" w:hAnsi="New York"/>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303C47"/>
    <w:rPr>
      <w:rFonts w:ascii="Calibri" w:eastAsia="Times New Roman" w:hAnsi="Calibri"/>
      <w:sz w:val="24"/>
      <w:szCs w:val="24"/>
      <w:lang w:eastAsia="it-IT"/>
    </w:rPr>
  </w:style>
  <w:style w:type="paragraph" w:styleId="NormaleWeb">
    <w:name w:val="Normal (Web)"/>
    <w:basedOn w:val="Normale"/>
    <w:uiPriority w:val="99"/>
    <w:unhideWhenUsed/>
    <w:rsid w:val="00303C47"/>
    <w:pPr>
      <w:spacing w:before="100" w:beforeAutospacing="1" w:after="100" w:afterAutospacing="1"/>
    </w:pPr>
    <w:rPr>
      <w:rFonts w:ascii="Times" w:eastAsia="Times New Roman" w:hAnsi="Times"/>
      <w:sz w:val="20"/>
      <w:szCs w:val="20"/>
      <w:lang w:val="it-IT"/>
    </w:rPr>
  </w:style>
  <w:style w:type="paragraph" w:customStyle="1" w:styleId="Titolo10">
    <w:name w:val="Titolo1"/>
    <w:basedOn w:val="Normale"/>
    <w:rsid w:val="00303C47"/>
    <w:pPr>
      <w:spacing w:before="100" w:beforeAutospacing="1" w:after="100" w:afterAutospacing="1"/>
    </w:pPr>
    <w:rPr>
      <w:rFonts w:eastAsia="Times New Roman"/>
      <w:lang w:val="it-IT"/>
    </w:rPr>
  </w:style>
  <w:style w:type="paragraph" w:customStyle="1" w:styleId="desc">
    <w:name w:val="desc"/>
    <w:basedOn w:val="Normale"/>
    <w:rsid w:val="00303C47"/>
    <w:pPr>
      <w:spacing w:before="100" w:beforeAutospacing="1" w:after="100" w:afterAutospacing="1"/>
    </w:pPr>
    <w:rPr>
      <w:rFonts w:eastAsia="Times New Roman"/>
      <w:lang w:val="it-IT"/>
    </w:rPr>
  </w:style>
  <w:style w:type="paragraph" w:customStyle="1" w:styleId="details">
    <w:name w:val="details"/>
    <w:basedOn w:val="Normale"/>
    <w:rsid w:val="00303C47"/>
    <w:pPr>
      <w:spacing w:before="100" w:beforeAutospacing="1" w:after="100" w:afterAutospacing="1"/>
    </w:pPr>
    <w:rPr>
      <w:rFonts w:eastAsia="Times New Roman"/>
      <w:lang w:val="it-IT"/>
    </w:rPr>
  </w:style>
  <w:style w:type="character" w:customStyle="1" w:styleId="jrnl">
    <w:name w:val="jrnl"/>
    <w:basedOn w:val="Carpredefinitoparagrafo"/>
    <w:rsid w:val="00303C47"/>
  </w:style>
  <w:style w:type="character" w:customStyle="1" w:styleId="highlight">
    <w:name w:val="highlight"/>
    <w:basedOn w:val="Carpredefinitoparagrafo"/>
    <w:rsid w:val="00303C47"/>
  </w:style>
  <w:style w:type="paragraph" w:styleId="PreformattatoHTML">
    <w:name w:val="HTML Preformatted"/>
    <w:basedOn w:val="Normale"/>
    <w:link w:val="PreformattatoHTMLCarattere"/>
    <w:semiHidden/>
    <w:unhideWhenUsed/>
    <w:rsid w:val="00303C47"/>
    <w:pPr>
      <w:jc w:val="both"/>
    </w:pPr>
    <w:rPr>
      <w:rFonts w:ascii="Consolas" w:eastAsia="Times New Roman" w:hAnsi="Consolas"/>
      <w:sz w:val="20"/>
      <w:szCs w:val="20"/>
      <w:lang w:eastAsia="en-US"/>
    </w:rPr>
  </w:style>
  <w:style w:type="character" w:customStyle="1" w:styleId="PreformattatoHTMLCarattere">
    <w:name w:val="Preformattato HTML Carattere"/>
    <w:basedOn w:val="Carpredefinitoparagrafo"/>
    <w:link w:val="PreformattatoHTML"/>
    <w:semiHidden/>
    <w:rsid w:val="00303C47"/>
    <w:rPr>
      <w:rFonts w:ascii="Consolas" w:eastAsia="Times New Roman" w:hAnsi="Consolas"/>
      <w:lang w:val="en-US" w:eastAsia="en-US"/>
    </w:rPr>
  </w:style>
  <w:style w:type="character" w:styleId="Rimandocommento">
    <w:name w:val="annotation reference"/>
    <w:semiHidden/>
    <w:unhideWhenUsed/>
    <w:rsid w:val="00303C47"/>
    <w:rPr>
      <w:sz w:val="16"/>
      <w:szCs w:val="16"/>
    </w:rPr>
  </w:style>
  <w:style w:type="paragraph" w:styleId="Testocommento">
    <w:name w:val="annotation text"/>
    <w:basedOn w:val="Normale"/>
    <w:link w:val="TestocommentoCarattere"/>
    <w:semiHidden/>
    <w:unhideWhenUsed/>
    <w:rsid w:val="00303C47"/>
    <w:pPr>
      <w:spacing w:after="200"/>
      <w:jc w:val="both"/>
    </w:pPr>
    <w:rPr>
      <w:rFonts w:ascii="Times" w:eastAsia="Times New Roman" w:hAnsi="Times"/>
      <w:sz w:val="20"/>
      <w:szCs w:val="20"/>
      <w:lang w:eastAsia="en-US"/>
    </w:rPr>
  </w:style>
  <w:style w:type="character" w:customStyle="1" w:styleId="TestocommentoCarattere">
    <w:name w:val="Testo commento Carattere"/>
    <w:basedOn w:val="Carpredefinitoparagrafo"/>
    <w:link w:val="Testocommento"/>
    <w:semiHidden/>
    <w:rsid w:val="00303C47"/>
    <w:rPr>
      <w:rFonts w:ascii="Times" w:eastAsia="Times New Roman" w:hAnsi="Times"/>
      <w:lang w:val="en-US" w:eastAsia="en-US"/>
    </w:rPr>
  </w:style>
  <w:style w:type="paragraph" w:styleId="Soggettocommento">
    <w:name w:val="annotation subject"/>
    <w:basedOn w:val="Testocommento"/>
    <w:next w:val="Testocommento"/>
    <w:link w:val="SoggettocommentoCarattere"/>
    <w:semiHidden/>
    <w:unhideWhenUsed/>
    <w:rsid w:val="00303C47"/>
    <w:rPr>
      <w:b/>
      <w:bCs/>
    </w:rPr>
  </w:style>
  <w:style w:type="character" w:customStyle="1" w:styleId="SoggettocommentoCarattere">
    <w:name w:val="Soggetto commento Carattere"/>
    <w:basedOn w:val="TestocommentoCarattere"/>
    <w:link w:val="Soggettocommento"/>
    <w:semiHidden/>
    <w:rsid w:val="00303C47"/>
    <w:rPr>
      <w:rFonts w:ascii="Times" w:eastAsia="Times New Roman" w:hAnsi="Times"/>
      <w:b/>
      <w:bCs/>
      <w:lang w:val="en-US" w:eastAsia="en-US"/>
    </w:rPr>
  </w:style>
  <w:style w:type="paragraph" w:styleId="Revisione">
    <w:name w:val="Revision"/>
    <w:hidden/>
    <w:uiPriority w:val="99"/>
    <w:semiHidden/>
    <w:rsid w:val="00303C47"/>
    <w:rPr>
      <w:rFonts w:ascii="Times" w:eastAsia="Times New Roman" w:hAnsi="Times"/>
      <w:sz w:val="24"/>
      <w:lang w:val="en-US" w:eastAsia="en-US"/>
    </w:rPr>
  </w:style>
  <w:style w:type="character" w:styleId="Enfasidelicata">
    <w:name w:val="Subtle Emphasis"/>
    <w:uiPriority w:val="19"/>
    <w:qFormat/>
    <w:rsid w:val="00303C47"/>
    <w:rPr>
      <w:i/>
      <w:iCs/>
      <w:color w:val="404040"/>
    </w:rPr>
  </w:style>
  <w:style w:type="paragraph" w:styleId="Intestazione">
    <w:name w:val="header"/>
    <w:basedOn w:val="Normale"/>
    <w:link w:val="IntestazioneCarattere"/>
    <w:unhideWhenUsed/>
    <w:rsid w:val="00303C47"/>
    <w:pPr>
      <w:tabs>
        <w:tab w:val="center" w:pos="4819"/>
        <w:tab w:val="right" w:pos="9638"/>
      </w:tabs>
      <w:jc w:val="both"/>
    </w:pPr>
    <w:rPr>
      <w:rFonts w:ascii="Times" w:eastAsia="Times New Roman" w:hAnsi="Times"/>
      <w:szCs w:val="20"/>
      <w:lang w:eastAsia="en-US"/>
    </w:rPr>
  </w:style>
  <w:style w:type="character" w:customStyle="1" w:styleId="IntestazioneCarattere">
    <w:name w:val="Intestazione Carattere"/>
    <w:basedOn w:val="Carpredefinitoparagrafo"/>
    <w:link w:val="Intestazione"/>
    <w:rsid w:val="00303C47"/>
    <w:rPr>
      <w:rFonts w:ascii="Times" w:eastAsia="Times New Roman" w:hAnsi="Times"/>
      <w:sz w:val="24"/>
      <w:lang w:val="en-US" w:eastAsia="en-US"/>
    </w:rPr>
  </w:style>
  <w:style w:type="paragraph" w:customStyle="1" w:styleId="p1">
    <w:name w:val="p1"/>
    <w:basedOn w:val="Normale"/>
    <w:rsid w:val="00303C47"/>
    <w:rPr>
      <w:rFonts w:ascii="Arial" w:eastAsia="Times New Roman" w:hAnsi="Arial" w:cs="Arial"/>
      <w:sz w:val="17"/>
      <w:szCs w:val="17"/>
      <w:lang w:val="it-IT"/>
    </w:rPr>
  </w:style>
  <w:style w:type="paragraph" w:styleId="Testonormale">
    <w:name w:val="Plain Text"/>
    <w:basedOn w:val="Normale"/>
    <w:link w:val="TestonormaleCarattere"/>
    <w:uiPriority w:val="99"/>
    <w:semiHidden/>
    <w:unhideWhenUsed/>
    <w:rsid w:val="00167830"/>
    <w:rPr>
      <w:rFonts w:ascii="Calibri" w:eastAsiaTheme="minorHAnsi" w:hAnsi="Calibri" w:cstheme="minorBidi"/>
      <w:sz w:val="22"/>
      <w:szCs w:val="21"/>
      <w:lang w:eastAsia="en-US"/>
    </w:rPr>
  </w:style>
  <w:style w:type="character" w:customStyle="1" w:styleId="TestonormaleCarattere">
    <w:name w:val="Testo normale Carattere"/>
    <w:basedOn w:val="Carpredefinitoparagrafo"/>
    <w:link w:val="Testonormale"/>
    <w:uiPriority w:val="99"/>
    <w:semiHidden/>
    <w:rsid w:val="00167830"/>
    <w:rPr>
      <w:rFonts w:ascii="Calibri" w:eastAsiaTheme="minorHAnsi" w:hAnsi="Calibri" w:cstheme="minorBidi"/>
      <w:sz w:val="22"/>
      <w:szCs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89374">
      <w:bodyDiv w:val="1"/>
      <w:marLeft w:val="0"/>
      <w:marRight w:val="0"/>
      <w:marTop w:val="0"/>
      <w:marBottom w:val="0"/>
      <w:divBdr>
        <w:top w:val="none" w:sz="0" w:space="0" w:color="auto"/>
        <w:left w:val="none" w:sz="0" w:space="0" w:color="auto"/>
        <w:bottom w:val="none" w:sz="0" w:space="0" w:color="auto"/>
        <w:right w:val="none" w:sz="0" w:space="0" w:color="auto"/>
      </w:divBdr>
    </w:div>
    <w:div w:id="108554731">
      <w:bodyDiv w:val="1"/>
      <w:marLeft w:val="0"/>
      <w:marRight w:val="0"/>
      <w:marTop w:val="0"/>
      <w:marBottom w:val="0"/>
      <w:divBdr>
        <w:top w:val="none" w:sz="0" w:space="0" w:color="auto"/>
        <w:left w:val="none" w:sz="0" w:space="0" w:color="auto"/>
        <w:bottom w:val="none" w:sz="0" w:space="0" w:color="auto"/>
        <w:right w:val="none" w:sz="0" w:space="0" w:color="auto"/>
      </w:divBdr>
    </w:div>
    <w:div w:id="115413984">
      <w:bodyDiv w:val="1"/>
      <w:marLeft w:val="0"/>
      <w:marRight w:val="0"/>
      <w:marTop w:val="0"/>
      <w:marBottom w:val="0"/>
      <w:divBdr>
        <w:top w:val="none" w:sz="0" w:space="0" w:color="auto"/>
        <w:left w:val="none" w:sz="0" w:space="0" w:color="auto"/>
        <w:bottom w:val="none" w:sz="0" w:space="0" w:color="auto"/>
        <w:right w:val="none" w:sz="0" w:space="0" w:color="auto"/>
      </w:divBdr>
    </w:div>
    <w:div w:id="181480422">
      <w:bodyDiv w:val="1"/>
      <w:marLeft w:val="0"/>
      <w:marRight w:val="0"/>
      <w:marTop w:val="0"/>
      <w:marBottom w:val="0"/>
      <w:divBdr>
        <w:top w:val="none" w:sz="0" w:space="0" w:color="auto"/>
        <w:left w:val="none" w:sz="0" w:space="0" w:color="auto"/>
        <w:bottom w:val="none" w:sz="0" w:space="0" w:color="auto"/>
        <w:right w:val="none" w:sz="0" w:space="0" w:color="auto"/>
      </w:divBdr>
    </w:div>
    <w:div w:id="267473489">
      <w:bodyDiv w:val="1"/>
      <w:marLeft w:val="0"/>
      <w:marRight w:val="0"/>
      <w:marTop w:val="0"/>
      <w:marBottom w:val="0"/>
      <w:divBdr>
        <w:top w:val="none" w:sz="0" w:space="0" w:color="auto"/>
        <w:left w:val="none" w:sz="0" w:space="0" w:color="auto"/>
        <w:bottom w:val="none" w:sz="0" w:space="0" w:color="auto"/>
        <w:right w:val="none" w:sz="0" w:space="0" w:color="auto"/>
      </w:divBdr>
    </w:div>
    <w:div w:id="284123998">
      <w:bodyDiv w:val="1"/>
      <w:marLeft w:val="0"/>
      <w:marRight w:val="0"/>
      <w:marTop w:val="0"/>
      <w:marBottom w:val="0"/>
      <w:divBdr>
        <w:top w:val="none" w:sz="0" w:space="0" w:color="auto"/>
        <w:left w:val="none" w:sz="0" w:space="0" w:color="auto"/>
        <w:bottom w:val="none" w:sz="0" w:space="0" w:color="auto"/>
        <w:right w:val="none" w:sz="0" w:space="0" w:color="auto"/>
      </w:divBdr>
    </w:div>
    <w:div w:id="461120614">
      <w:bodyDiv w:val="1"/>
      <w:marLeft w:val="0"/>
      <w:marRight w:val="0"/>
      <w:marTop w:val="0"/>
      <w:marBottom w:val="0"/>
      <w:divBdr>
        <w:top w:val="none" w:sz="0" w:space="0" w:color="auto"/>
        <w:left w:val="none" w:sz="0" w:space="0" w:color="auto"/>
        <w:bottom w:val="none" w:sz="0" w:space="0" w:color="auto"/>
        <w:right w:val="none" w:sz="0" w:space="0" w:color="auto"/>
      </w:divBdr>
    </w:div>
    <w:div w:id="708651720">
      <w:bodyDiv w:val="1"/>
      <w:marLeft w:val="0"/>
      <w:marRight w:val="0"/>
      <w:marTop w:val="0"/>
      <w:marBottom w:val="0"/>
      <w:divBdr>
        <w:top w:val="none" w:sz="0" w:space="0" w:color="auto"/>
        <w:left w:val="none" w:sz="0" w:space="0" w:color="auto"/>
        <w:bottom w:val="none" w:sz="0" w:space="0" w:color="auto"/>
        <w:right w:val="none" w:sz="0" w:space="0" w:color="auto"/>
      </w:divBdr>
    </w:div>
    <w:div w:id="1066487360">
      <w:bodyDiv w:val="1"/>
      <w:marLeft w:val="0"/>
      <w:marRight w:val="0"/>
      <w:marTop w:val="0"/>
      <w:marBottom w:val="0"/>
      <w:divBdr>
        <w:top w:val="none" w:sz="0" w:space="0" w:color="auto"/>
        <w:left w:val="none" w:sz="0" w:space="0" w:color="auto"/>
        <w:bottom w:val="none" w:sz="0" w:space="0" w:color="auto"/>
        <w:right w:val="none" w:sz="0" w:space="0" w:color="auto"/>
      </w:divBdr>
    </w:div>
    <w:div w:id="1096755660">
      <w:bodyDiv w:val="1"/>
      <w:marLeft w:val="0"/>
      <w:marRight w:val="0"/>
      <w:marTop w:val="0"/>
      <w:marBottom w:val="0"/>
      <w:divBdr>
        <w:top w:val="none" w:sz="0" w:space="0" w:color="auto"/>
        <w:left w:val="none" w:sz="0" w:space="0" w:color="auto"/>
        <w:bottom w:val="none" w:sz="0" w:space="0" w:color="auto"/>
        <w:right w:val="none" w:sz="0" w:space="0" w:color="auto"/>
      </w:divBdr>
    </w:div>
    <w:div w:id="1236206014">
      <w:bodyDiv w:val="1"/>
      <w:marLeft w:val="0"/>
      <w:marRight w:val="0"/>
      <w:marTop w:val="0"/>
      <w:marBottom w:val="0"/>
      <w:divBdr>
        <w:top w:val="none" w:sz="0" w:space="0" w:color="auto"/>
        <w:left w:val="none" w:sz="0" w:space="0" w:color="auto"/>
        <w:bottom w:val="none" w:sz="0" w:space="0" w:color="auto"/>
        <w:right w:val="none" w:sz="0" w:space="0" w:color="auto"/>
      </w:divBdr>
    </w:div>
    <w:div w:id="1361928078">
      <w:bodyDiv w:val="1"/>
      <w:marLeft w:val="0"/>
      <w:marRight w:val="0"/>
      <w:marTop w:val="0"/>
      <w:marBottom w:val="0"/>
      <w:divBdr>
        <w:top w:val="none" w:sz="0" w:space="0" w:color="auto"/>
        <w:left w:val="none" w:sz="0" w:space="0" w:color="auto"/>
        <w:bottom w:val="none" w:sz="0" w:space="0" w:color="auto"/>
        <w:right w:val="none" w:sz="0" w:space="0" w:color="auto"/>
      </w:divBdr>
    </w:div>
    <w:div w:id="1400009474">
      <w:bodyDiv w:val="1"/>
      <w:marLeft w:val="0"/>
      <w:marRight w:val="0"/>
      <w:marTop w:val="0"/>
      <w:marBottom w:val="0"/>
      <w:divBdr>
        <w:top w:val="none" w:sz="0" w:space="0" w:color="auto"/>
        <w:left w:val="none" w:sz="0" w:space="0" w:color="auto"/>
        <w:bottom w:val="none" w:sz="0" w:space="0" w:color="auto"/>
        <w:right w:val="none" w:sz="0" w:space="0" w:color="auto"/>
      </w:divBdr>
    </w:div>
    <w:div w:id="1593393529">
      <w:bodyDiv w:val="1"/>
      <w:marLeft w:val="0"/>
      <w:marRight w:val="0"/>
      <w:marTop w:val="0"/>
      <w:marBottom w:val="0"/>
      <w:divBdr>
        <w:top w:val="none" w:sz="0" w:space="0" w:color="auto"/>
        <w:left w:val="none" w:sz="0" w:space="0" w:color="auto"/>
        <w:bottom w:val="none" w:sz="0" w:space="0" w:color="auto"/>
        <w:right w:val="none" w:sz="0" w:space="0" w:color="auto"/>
      </w:divBdr>
    </w:div>
    <w:div w:id="1627076110">
      <w:bodyDiv w:val="1"/>
      <w:marLeft w:val="0"/>
      <w:marRight w:val="0"/>
      <w:marTop w:val="0"/>
      <w:marBottom w:val="0"/>
      <w:divBdr>
        <w:top w:val="none" w:sz="0" w:space="0" w:color="auto"/>
        <w:left w:val="none" w:sz="0" w:space="0" w:color="auto"/>
        <w:bottom w:val="none" w:sz="0" w:space="0" w:color="auto"/>
        <w:right w:val="none" w:sz="0" w:space="0" w:color="auto"/>
      </w:divBdr>
    </w:div>
    <w:div w:id="1692949679">
      <w:bodyDiv w:val="1"/>
      <w:marLeft w:val="0"/>
      <w:marRight w:val="0"/>
      <w:marTop w:val="0"/>
      <w:marBottom w:val="0"/>
      <w:divBdr>
        <w:top w:val="none" w:sz="0" w:space="0" w:color="auto"/>
        <w:left w:val="none" w:sz="0" w:space="0" w:color="auto"/>
        <w:bottom w:val="none" w:sz="0" w:space="0" w:color="auto"/>
        <w:right w:val="none" w:sz="0" w:space="0" w:color="auto"/>
      </w:divBdr>
    </w:div>
    <w:div w:id="19771037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7.tiff"/><Relationship Id="rId3" Type="http://schemas.openxmlformats.org/officeDocument/2006/relationships/settings" Target="settings.xml"/><Relationship Id="rId21" Type="http://schemas.openxmlformats.org/officeDocument/2006/relationships/comments" Target="comments.xml"/><Relationship Id="rId34" Type="http://schemas.openxmlformats.org/officeDocument/2006/relationships/theme" Target="theme/theme1.xml"/><Relationship Id="rId7" Type="http://schemas.openxmlformats.org/officeDocument/2006/relationships/hyperlink" Target="https://doi.org/10.1016/j.ejmech.2018.08.044" TargetMode="Externa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6.tiff"/><Relationship Id="rId33" Type="http://schemas.microsoft.com/office/2011/relationships/people" Target="people.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0.ti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5.emf"/><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4.emf"/><Relationship Id="rId28" Type="http://schemas.openxmlformats.org/officeDocument/2006/relationships/image" Target="media/image19.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2.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emf"/><Relationship Id="rId22" Type="http://schemas.microsoft.com/office/2011/relationships/commentsExtended" Target="commentsExtended.xml"/><Relationship Id="rId27" Type="http://schemas.openxmlformats.org/officeDocument/2006/relationships/image" Target="media/image18.tiff"/><Relationship Id="rId30" Type="http://schemas.openxmlformats.org/officeDocument/2006/relationships/image" Target="media/image21.tiff"/><Relationship Id="rId35" Type="http://schemas.microsoft.com/office/2016/09/relationships/commentsIds" Target="commentsId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328</TotalTime>
  <Pages>54</Pages>
  <Words>14481</Words>
  <Characters>82547</Characters>
  <Application>Microsoft Office Word</Application>
  <DocSecurity>0</DocSecurity>
  <Lines>687</Lines>
  <Paragraphs>193</Paragraphs>
  <ScaleCrop>false</ScaleCrop>
  <HeadingPairs>
    <vt:vector size="2" baseType="variant">
      <vt:variant>
        <vt:lpstr>Titolo</vt:lpstr>
      </vt:variant>
      <vt:variant>
        <vt:i4>1</vt:i4>
      </vt:variant>
    </vt:vector>
  </HeadingPairs>
  <TitlesOfParts>
    <vt:vector size="1" baseType="lpstr">
      <vt:lpstr/>
    </vt:vector>
  </TitlesOfParts>
  <Company>*** ********** * ******** **</Company>
  <LinksUpToDate>false</LinksUpToDate>
  <CharactersWithSpaces>96835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Mariangela Agamennone</cp:lastModifiedBy>
  <cp:revision>9</cp:revision>
  <cp:lastPrinted>2018-03-16T15:54:00Z</cp:lastPrinted>
  <dcterms:created xsi:type="dcterms:W3CDTF">2022-03-22T16:39:00Z</dcterms:created>
  <dcterms:modified xsi:type="dcterms:W3CDTF">2022-06-28T12:53:00Z</dcterms:modified>
</cp:coreProperties>
</file>